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 w:val="32"/>
          <w:szCs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54380"/>
                <wp:effectExtent l="0" t="0" r="0" b="762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Менського району Чернігівської області</w:t>
      </w:r>
      <w:r/>
    </w:p>
    <w:p>
      <w:pPr>
        <w:pStyle w:val="374"/>
        <w:jc w:val="center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(сорок друга сесія  сьомого скликання)</w:t>
      </w:r>
      <w:r/>
    </w:p>
    <w:p>
      <w:pPr>
        <w:pStyle w:val="374"/>
        <w:jc w:val="center"/>
        <w:spacing w:lineRule="auto" w:line="240" w:after="0" w:afterAutospacing="0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ПРОЄКТ РІШЕННЯ</w:t>
      </w:r>
      <w:r/>
    </w:p>
    <w:p>
      <w:pPr>
        <w:jc w:val="center"/>
        <w:spacing w:lineRule="auto" w:line="240" w:after="0" w:afterAutospacing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№</w:t>
      </w:r>
      <w:r/>
    </w:p>
    <w:p>
      <w:pPr>
        <w:spacing w:lineRule="auto" w:line="240" w:after="0" w:afterAutospacing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26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ru-RU"/>
        </w:rPr>
        <w:t xml:space="preserve">серпня</w:t>
      </w:r>
      <w:r>
        <w:rPr>
          <w:rFonts w:eastAsia="Times New Roman"/>
          <w:color w:val="000000"/>
          <w:szCs w:val="28"/>
        </w:rPr>
        <w:t xml:space="preserve"> 2020</w:t>
      </w:r>
      <w:r>
        <w:rPr>
          <w:rFonts w:eastAsia="Times New Roman"/>
          <w:color w:val="000000"/>
          <w:szCs w:val="28"/>
        </w:rPr>
        <w:t xml:space="preserve"> року</w:t>
      </w:r>
      <w:r/>
    </w:p>
    <w:p>
      <w:pPr>
        <w:pStyle w:val="372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372"/>
        <w:ind w:left="0" w:right="5387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порушення клопотання щодо </w:t>
      </w:r>
      <w:r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 згоди на безоплатну передачу </w:t>
      </w:r>
      <w:r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 власність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об’єднаної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територіальної громади закладів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 захисту населення</w:t>
      </w:r>
      <w:r/>
    </w:p>
    <w:p>
      <w:pPr>
        <w:pStyle w:val="372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37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За результатами засідання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роботи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робочої групи від 18.08.2020 року , яка створена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розпорядження голови РДА від 10.08.2020 року № 140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враховуючи необхідність створення умов, що сприятимуть забезпеченню покращення надання соціальних послуг,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ст.ст.26, 60 Закону України «Про місцеве самоврядування в Україні,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Бюджетним кодексом України, Законом України «Про добровільне об’єднання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територіальних громад», відповідно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Положення про порядок передачі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об’єктів права спільної власності територі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альних громад сіл, селищ, міста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району, затвердженого рішенням 13 сесії 5 скликання 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Менська міська рада</w:t>
      </w:r>
      <w:r/>
    </w:p>
    <w:p>
      <w:pPr>
        <w:pStyle w:val="372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ВИРІШИЛА:</w:t>
      </w:r>
      <w:r/>
    </w:p>
    <w:p>
      <w:pPr>
        <w:pStyle w:val="37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Порушити перед Менсько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 районною радою клопотання 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безоплатну передачу із спільної власності територіальних грома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 сіл, селищ, міста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до власності 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ської об’єднаної територіальної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 майна, що перебувають у спільній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власності територіальних громад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сіл, селищ, міста Менського району (додаток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1 - додається) та знаходиться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сфері управлінні Менського тер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иторіального центру соціального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обслуговування (надання соціальних посл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уг) Менської районної державної адміністрації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яке знаход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иться на його балансі.</w:t>
      </w:r>
      <w:r/>
    </w:p>
    <w:p>
      <w:pPr>
        <w:pStyle w:val="37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Надати згоду на прийняття до власності Менської об’є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днаної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майна згідно додатку 1 та 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ншого майна, яке знаходиться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балансі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37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окласти на постійні депутатські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комісії Менської міської ради.</w:t>
      </w:r>
      <w:r/>
    </w:p>
    <w:p>
      <w:pPr>
        <w:pStyle w:val="37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br w:type="page"/>
      </w:r>
      <w:r/>
    </w:p>
    <w:p>
      <w:pPr>
        <w:pStyle w:val="372"/>
        <w:ind w:left="5528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Додаток 1 до рішення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порушення клопотання щодо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надання згоди на безоплатну передачу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у власність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об’єднаної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територіальної громади закладів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соціального захисту населення від 26.08.2020 №___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b w:val="false"/>
        </w:rPr>
      </w:r>
    </w:p>
    <w:p>
      <w:pPr>
        <w:pStyle w:val="372"/>
        <w:ind w:left="5528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pStyle w:val="372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Перелік нерухомого майна які перебувають, в управлінні 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ериторіального центру соціального обслуговування ( надання соціальних послуг) та передаються безоплатно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</w:t>
      </w:r>
      <w:r/>
    </w:p>
    <w:p>
      <w:pPr>
        <w:pStyle w:val="37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5669"/>
        <w:gridCol w:w="992"/>
        <w:gridCol w:w="209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373"/>
              <w:ind w:left="0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Кіль-кість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spacing w:lineRule="auto" w:line="24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Балансова вартість, грн.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/>
            <w:bookmarkStart w:id="0" w:name="_Hlk48807801"/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</w:t>
            </w:r>
            <w:r>
              <w:rPr>
                <w:color w:val="000000"/>
                <w:szCs w:val="28"/>
              </w:rPr>
              <w:t xml:space="preserve">побуткомбінату</w:t>
            </w:r>
            <w:r>
              <w:rPr>
                <w:color w:val="000000"/>
                <w:szCs w:val="28"/>
              </w:rPr>
              <w:t xml:space="preserve">  </w:t>
            </w:r>
            <w:r/>
          </w:p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</w:t>
            </w:r>
            <w:r>
              <w:rPr>
                <w:color w:val="000000"/>
                <w:szCs w:val="28"/>
              </w:rPr>
              <w:t xml:space="preserve">Мена, вул</w:t>
            </w:r>
            <w:r>
              <w:rPr>
                <w:color w:val="000000"/>
                <w:szCs w:val="28"/>
              </w:rPr>
              <w:t xml:space="preserve">. Армійська,1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187764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управління соціального захисту населення, м. Мена, вул. Сіверський шлях,26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110407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Сарай – склад, м. Мена, вул. Сіверський шлях,26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16233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314404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21043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31760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34125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Велосипеди жіночі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9195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75080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Компютери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46144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Системні блоки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Лічильник тепла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13792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Мотокоса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 xml:space="preserve">Штіль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5308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Електропила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37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87944</w:t>
            </w:r>
            <w:r/>
          </w:p>
        </w:tc>
      </w:tr>
    </w:tbl>
    <w:p>
      <w:pPr>
        <w:spacing w:lineRule="auto" w:line="240" w:after="0" w:afterAutospacing="0"/>
      </w:pPr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Times New Roman" w:hAnsi="Times New Roman" w:cs="Times New Roman" w:eastAsia="Calibri"/>
      <w:sz w:val="28"/>
    </w:r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 w:customStyle="1">
    <w:name w:val="Звичайний1"/>
    <w:rPr>
      <w:rFonts w:ascii="Calibri" w:hAnsi="Calibri" w:cs="Calibri" w:eastAsia="Calibri"/>
      <w:color w:val="000000"/>
      <w:sz w:val="20"/>
      <w:szCs w:val="20"/>
      <w:lang w:eastAsia="ru-RU"/>
    </w:rPr>
    <w:pPr>
      <w:spacing w:lineRule="auto" w:line="240" w:after="0"/>
    </w:pPr>
  </w:style>
  <w:style w:type="paragraph" w:styleId="373" w:customStyle="1">
    <w:name w:val="Абзац списку1"/>
    <w:basedOn w:val="368"/>
    <w:qFormat/>
    <w:rPr>
      <w:rFonts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374" w:customStyle="1">
    <w:name w:val="Обычный"/>
    <w:rPr>
      <w:rFonts w:ascii="Calibri" w:hAnsi="Calibri" w:cs="Times New Roman" w:eastAsia="Calibri"/>
    </w:rPr>
    <w:pPr>
      <w:spacing w:lineRule="auto" w:line="256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3</cp:revision>
  <dcterms:created xsi:type="dcterms:W3CDTF">2020-08-20T09:59:00Z</dcterms:created>
  <dcterms:modified xsi:type="dcterms:W3CDTF">2020-08-20T11:32:23Z</dcterms:modified>
</cp:coreProperties>
</file>