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>
        <w:rPr>
          <w:sz w:val="28"/>
        </w:rPr>
      </w:r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6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295</w:t>
      </w:r>
      <w:r>
        <w:rPr>
          <w:sz w:val="28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</w:t>
            </w:r>
            <w:r>
              <w:rPr>
                <w:b/>
                <w:sz w:val="28"/>
              </w:rPr>
              <w:t xml:space="preserve">території Менської</w:t>
            </w:r>
            <w:bookmarkStart w:id="0" w:name="_GoBack"/>
            <w:r/>
            <w:bookmarkEnd w:id="0"/>
            <w:r>
              <w:rPr>
                <w:b/>
                <w:sz w:val="28"/>
              </w:rPr>
              <w:t xml:space="preserve"> ОТГ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Шульга Роман Миколайович</w:t>
      </w:r>
      <w:r>
        <w:rPr>
          <w:sz w:val="28"/>
          <w:szCs w:val="28"/>
        </w:rPr>
        <w:tab/>
        <w:t xml:space="preserve">0,5049 га</w:t>
      </w:r>
      <w:r>
        <w:rPr>
          <w:sz w:val="28"/>
          <w:szCs w:val="28"/>
        </w:rPr>
        <w:tab/>
        <w:t xml:space="preserve">7423085900:09:000:0255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Шульга Роман Миколайович</w:t>
      </w:r>
      <w:r>
        <w:rPr>
          <w:sz w:val="28"/>
          <w:szCs w:val="28"/>
        </w:rPr>
        <w:tab/>
        <w:t xml:space="preserve">0,7190 га</w:t>
      </w:r>
      <w:r>
        <w:rPr>
          <w:sz w:val="28"/>
          <w:szCs w:val="28"/>
        </w:rPr>
        <w:tab/>
        <w:t xml:space="preserve">7423085000:08:000:0630</w:t>
      </w:r>
      <w:r/>
    </w:p>
    <w:p>
      <w:pPr>
        <w:pStyle w:val="570"/>
        <w:ind w:left="0" w:firstLine="708"/>
        <w:jc w:val="both"/>
        <w:widowControl w:val="off"/>
        <w:rPr>
          <w:bCs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708"/>
        <w:jc w:val="both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15</cp:revision>
  <dcterms:created xsi:type="dcterms:W3CDTF">2020-06-24T08:45:00Z</dcterms:created>
  <dcterms:modified xsi:type="dcterms:W3CDTF">2020-07-17T14:45:04Z</dcterms:modified>
</cp:coreProperties>
</file>