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tLeast" w:line="235" w:after="0" w:before="0"/>
        <w:rPr>
          <w:rFonts w:ascii="Times New Roman" w:hAnsi="Times New Roman" w:cs="Times New Roman" w:eastAsia="Times New Roman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202" cy="76727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51201" cy="767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60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tLeast" w:line="235" w:after="160" w:before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257</w:t>
      </w:r>
      <w:r>
        <w:rPr>
          <w:sz w:val="28"/>
        </w:rPr>
      </w:r>
      <w:r/>
    </w:p>
    <w:p>
      <w:pPr>
        <w:ind w:right="581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ставок орендної плати за земельні ділянки на території Менської ОТГ</w:t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громади, впорядкування нормативного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уточнення видів діяльності відповідно до Класифікації видів цільового призначення земель, затвердженого наказом Державного комітету України із земельних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ресурсів від 23.07.2010 № 548 зі змінами та доповненнями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Менська міська рада</w:t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ВИРІШИЛА:</w:t>
      </w:r>
      <w:r/>
    </w:p>
    <w:p>
      <w:pPr>
        <w:pStyle w:val="564"/>
        <w:numPr>
          <w:ilvl w:val="0"/>
          <w:numId w:val="1"/>
        </w:numPr>
        <w:ind w:left="0" w:firstLine="0"/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ставки орендної плати за земельні ділянки на території Менської міської об’єднаної територіальної громади, згідно з додатком 1 та ввести їх в дію з дати прийняття цього рішення (</w:t>
      </w:r>
      <w:r>
        <w:rPr>
          <w:rFonts w:ascii="Times New Roman" w:hAnsi="Times New Roman" w:cs="Times New Roman"/>
          <w:sz w:val="28"/>
          <w:szCs w:val="28"/>
        </w:rPr>
        <w:t xml:space="preserve">розмір орендної плати встановлений з урахуванням вимог пункту 288.5. статті 288 Податкового кодексу України).</w:t>
      </w:r>
      <w:r/>
    </w:p>
    <w:p>
      <w:pPr>
        <w:pStyle w:val="564"/>
        <w:ind w:left="0"/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16"/>
          <w:szCs w:val="16"/>
          <w:lang w:eastAsia="uk-UA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uk-UA"/>
        </w:rPr>
      </w:r>
      <w:r/>
    </w:p>
    <w:p>
      <w:pPr>
        <w:pStyle w:val="564"/>
        <w:numPr>
          <w:ilvl w:val="0"/>
          <w:numId w:val="1"/>
        </w:numPr>
        <w:ind w:left="0" w:firstLine="0"/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3.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земельних відносин при переукладанні, поновленні тощо договорів оренди землі застосовувати ставки відповідно до цього рішення.</w:t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ab/>
        <w:t xml:space="preserve">Плата за суборенду земельних ділянок не може перевищувати орендної плати.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виключних випадках, за пропозицією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постійної комісії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питань містобудування, будівництва, земельних відносин та охорони природи,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суб’єктів господарювання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що здійснюють стратегічно важливу для інтересів міста діяльність, розмір орендної плати може бути зменшений за окремим рішенням міської ради.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Величина орендної плати може бути змінена в разі зміни (повторного проведення) нормативної грошової оцінки земельної ділянки, в тому числі запровадженн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 нового коефіцієнта індексації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в разі встановлення нових ставок земельного податку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Рішення 27 сесії 6 скликання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 28.06.2013 р «Про орендну плату за земельні ділянки» вважати таким, що втратило чинність.</w:t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Рішення набуває чинності з дати прийняття.</w:t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left="4820" w:firstLine="6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uk-UA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uk-UA"/>
        </w:rPr>
        <w:br w:type="column"/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Додаток 1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 рішення 40 сесії Менської міської ради 7 скликання від 10.07.2020 «Про затвердження ставок орендної плати за земельні ділянки на території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міської ОТГ» 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№ 257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СТАВКИ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br/>
        <w:t xml:space="preserve">орендної плати за земельні ділянки 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6"/>
        <w:gridCol w:w="1260"/>
        <w:gridCol w:w="1544"/>
        <w:gridCol w:w="5455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області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району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br/>
              <w:t xml:space="preserve">згідно з КОАТУУ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9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Найменування адміністративно-територіальної одиниці або населеного пункту, або території об’єднаної територіальної громади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5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04644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04061777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0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7423081501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7423081803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7423083501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7423084504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7423084505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7423085003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7423088503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7423085905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7423085904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7423085004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7423087201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7423088703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7423087601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7423088001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7423088201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7423089501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7423088504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7423089002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95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Блистова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Бірківка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Куковицьке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Дмитрівка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Дерепівка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Величківка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Вільне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Дягова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Киселівка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Комарівка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Прогрес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Загорівка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Куковичі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Лазарівка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Ліски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Луки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Майське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Максаки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смт.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Макошине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Овчарівка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Осьмаки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Остапівка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Нові Броди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Садове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Семенівка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Синявка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Слобідка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Стольне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Ушня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Феськівка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Чорногорці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Дібровка  </w:t>
            </w:r>
            <w:r/>
          </w:p>
        </w:tc>
      </w:tr>
    </w:tbl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44"/>
        <w:gridCol w:w="4342"/>
        <w:gridCol w:w="3209"/>
        <w:gridCol w:w="850"/>
      </w:tblGrid>
      <w:tr>
        <w:trPr>
          <w:tblHeader/>
        </w:trPr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80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Вид цільового призначення земель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150" w:type="pct"/>
            <w:vMerge w:val="restar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Ставки орендної плати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(відсотків нормативної грошової оцінки)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за земельні ділянки нормативну грошову оцінку яких проведено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(незалежно від місця знаходження)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код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25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найменування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r>
            <w:r/>
          </w:p>
        </w:tc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gridSpan w:val="2"/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сільськогосподарського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товарного сільськогосподарського виробництва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фермерського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особистого селянського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підсобного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городництва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 і випасання худоби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дослідних і навчальних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пропаганди передового досвіду ведення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надання послуг у сільському господарстві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інфраструктури оптових ринків сільськогосподарської продукції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сільськогосподарського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01.01-01.13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житлової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житлового будинку, господарських будівель і споруд (присадибна ділянка)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житлового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будівель тимчасового проживання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індивідуальних гаражів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гаражного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іншої житлової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02.01-02.07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паркінгів та автостоянок на землях житлової та громадської забудови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громадської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органів державної влади та    місцевого самоврядування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освіти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охорони здоров’я та соціальної допомоги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громадських та релігійних організацій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культурно-просвітницького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екстериторіальних організацій та органів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торгівлі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туристичної інфраструктури та закладів громадського харчування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кредитно-фінансових установ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і споруд закладів науки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комунального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побутового обслуговування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органів ДСНС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інших будівель громадської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03.01-03.15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закладів з обслуговування відвідувачів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природно-заповідного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біосферних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природних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національних природних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ботанічних садів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зоологічних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дендрологічних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парків – пам’яток садово-паркового мистецтва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заказників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заповідних урочищ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пам’яток природи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регіональних ландшафтних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іншого природоохоронного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06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br/>
              <w:t xml:space="preserve">для профілактики захворювань і лікування людей)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санаторно-оздоровчих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розробки родовищ природних лікувальних ресурсів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інших оздоровчих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06.01-06.03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07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рекреаційного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фізичної культури і 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дачного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дачного будівництва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07.01-07.04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08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історико-культурного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забезпечення охорони об’єктів культурної спадщини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обслуговування музейних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історико-культурного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08.01-08.03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09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лісогосподарського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лісового господарства і пов’язаних з ним послуг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лісогосподарського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09.01-09.02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10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водного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водними об’єктами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4,0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облаштування та догляду за прибережними захисними смугами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смугами відведення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гідротехнічними, іншими водогосподарськими спорудами і каналами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догляду за береговими смугами водних шляхів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рибогосподарських потреб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культурно-оздоровчих потреб, рекреаційних, спортивних і туристичних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проведення науково-дослідних робіт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гідротехнічних, гідрометричних та лінійних споруд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10.01-10.11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промисловості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11.01-11.04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транспорту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залізничного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морського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річкового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автомобільного транспорту та дорожнього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авіаційного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трубопровідного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міського електротранспорту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додаткових транспортних послуг та допоміжних операцій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іншого наземного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12.01-12.09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зв’язку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і споруд телекомунікацій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та споруд об’єктів поштового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інших технічних засобів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13.01-13.03, 13.05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Державної служби спеціального зв’язку та захисту інформації України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енергетики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14.01-14.02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оборони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Збройних Сил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військових частин (підрозділів) Національної гвардії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Держприкордонслужби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СБУ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Держспецтрансслужби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Служби зовнішньої розвідки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інших, утворених відповідно до законів, військових формувань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15.01-15.07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запасу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резервного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загального користування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Для цілей підрозділів 16-18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92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4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59"/>
    <w:next w:val="559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1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59"/>
    <w:next w:val="559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1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1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1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1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59"/>
    <w:next w:val="559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1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1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59"/>
    <w:next w:val="559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1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9"/>
    <w:next w:val="559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59"/>
    <w:next w:val="559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59"/>
    <w:next w:val="559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9"/>
    <w:next w:val="559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59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59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paragraph" w:styleId="560">
    <w:name w:val="Heading 1"/>
    <w:basedOn w:val="559"/>
    <w:next w:val="559"/>
    <w:link w:val="565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List Paragraph"/>
    <w:basedOn w:val="559"/>
    <w:qFormat/>
    <w:uiPriority w:val="34"/>
    <w:pPr>
      <w:contextualSpacing w:val="true"/>
      <w:ind w:left="720"/>
    </w:pPr>
  </w:style>
  <w:style w:type="character" w:styleId="565" w:customStyle="1">
    <w:name w:val="Заголовок 1 Знак"/>
    <w:basedOn w:val="561"/>
    <w:link w:val="560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566" w:customStyle="1">
    <w:name w:val="Титулка"/>
    <w:basedOn w:val="559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>
    <w:name w:val="Hyperlink"/>
    <w:basedOn w:val="561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7</cp:revision>
  <dcterms:created xsi:type="dcterms:W3CDTF">2020-02-06T09:51:00Z</dcterms:created>
  <dcterms:modified xsi:type="dcterms:W3CDTF">2020-08-03T11:39:40Z</dcterms:modified>
</cp:coreProperties>
</file>