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3577" cy="70098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03577" cy="700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7pt;height:55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(</w:t>
      </w:r>
      <w:r>
        <w:rPr>
          <w:b/>
          <w:sz w:val="28"/>
          <w:szCs w:val="28"/>
          <w:lang w:val="ru-RU"/>
        </w:rPr>
        <w:t xml:space="preserve">сорокова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сесія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сьомого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скликання</w:t>
      </w:r>
      <w:r>
        <w:rPr>
          <w:b/>
          <w:sz w:val="28"/>
          <w:szCs w:val="28"/>
          <w:lang w:val="ru-RU"/>
        </w:rPr>
        <w:t xml:space="preserve">)</w:t>
      </w:r>
      <w:r/>
    </w:p>
    <w:p>
      <w:pPr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РІШЕН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Я</w:t>
      </w:r>
      <w:r/>
    </w:p>
    <w:p>
      <w:pPr>
        <w:ind w:left="1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45"/>
        <w:rPr>
          <w:sz w:val="28"/>
          <w:szCs w:val="28"/>
        </w:rPr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/>
    </w:p>
    <w:p>
      <w:pPr>
        <w:ind w:firstLine="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677"/>
        <w:rPr>
          <w:b/>
          <w:sz w:val="28"/>
          <w:szCs w:val="28"/>
        </w:rPr>
      </w:pPr>
      <w:r/>
      <w:bookmarkStart w:id="0" w:name="_Hlk32391271"/>
      <w:r>
        <w:rPr>
          <w:b/>
          <w:sz w:val="28"/>
          <w:szCs w:val="28"/>
        </w:rPr>
        <w:t xml:space="preserve">Про</w:t>
      </w:r>
      <w:r>
        <w:rPr>
          <w:b/>
          <w:sz w:val="28"/>
          <w:szCs w:val="28"/>
        </w:rPr>
        <w:t xml:space="preserve"> порядок</w:t>
      </w:r>
      <w:r>
        <w:rPr>
          <w:b/>
          <w:sz w:val="28"/>
          <w:szCs w:val="28"/>
        </w:rPr>
        <w:t xml:space="preserve"> списання</w:t>
      </w:r>
      <w:r>
        <w:rPr>
          <w:b/>
          <w:sz w:val="28"/>
          <w:szCs w:val="28"/>
        </w:rPr>
        <w:t xml:space="preserve">, безоплатної передачі майна, яке належить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комунальної власності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</w:t>
      </w:r>
      <w:r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об’єднаної територіальної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громади</w:t>
      </w:r>
      <w:bookmarkEnd w:id="0"/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 метою</w:t>
      </w:r>
      <w:r>
        <w:rPr>
          <w:sz w:val="28"/>
          <w:szCs w:val="28"/>
        </w:rPr>
        <w:t xml:space="preserve"> встановлення єдиних вимог до порядку списання комунального майна Менської </w:t>
      </w:r>
      <w:r>
        <w:rPr>
          <w:color w:val="FF0000"/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об’єднаної територіальної громади, відповідно до Цивільного  кодексу України, </w:t>
      </w:r>
      <w:r>
        <w:rPr>
          <w:sz w:val="28"/>
          <w:szCs w:val="28"/>
        </w:rPr>
        <w:t xml:space="preserve">та враховуючи ПКМУ №1314 від 08.11.2007 року</w:t>
      </w:r>
      <w:r>
        <w:rPr>
          <w:sz w:val="28"/>
          <w:szCs w:val="28"/>
        </w:rPr>
        <w:t xml:space="preserve"> «Про затвердження порядку списання об’єктів державної власності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наказів МФУ від 12.10.2010 року №1202 «Про затвердження н</w:t>
      </w:r>
      <w:r>
        <w:rPr>
          <w:sz w:val="28"/>
          <w:szCs w:val="28"/>
        </w:rPr>
        <w:t xml:space="preserve">аціональн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(стандарт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) бухгалтерського обліку в державному секторі</w:t>
      </w:r>
      <w:bookmarkStart w:id="1" w:name="_Hlk32327918"/>
      <w:r>
        <w:rPr>
          <w:sz w:val="28"/>
          <w:szCs w:val="28"/>
        </w:rPr>
        <w:t xml:space="preserve">,</w:t>
      </w:r>
      <w:bookmarkEnd w:id="1"/>
      <w:r>
        <w:rPr>
          <w:sz w:val="28"/>
          <w:szCs w:val="28"/>
        </w:rPr>
        <w:t xml:space="preserve"> від 02</w:t>
      </w:r>
      <w:r>
        <w:rPr>
          <w:sz w:val="28"/>
          <w:szCs w:val="28"/>
        </w:rPr>
        <w:t xml:space="preserve">.09.2014 року №879 «Про затвердження Положення про інвентаризацію активів та зобов’язань, від 23.01.2015 року №11 «Про затвердження Методичних рекомендацій форм з обліку та списання основних засобів суб’єктами державного сектору та порядку їх складання»,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Законом України «Про місцеве самоврядування в Україні» ст.ст.26, 60 </w:t>
      </w:r>
      <w:r>
        <w:rPr>
          <w:sz w:val="28"/>
          <w:szCs w:val="28"/>
        </w:rPr>
        <w:t xml:space="preserve"> міська рада </w:t>
      </w:r>
      <w:r/>
    </w:p>
    <w:p>
      <w:pPr>
        <w:jc w:val="both"/>
      </w:pPr>
      <w:r>
        <w:rPr>
          <w:b/>
          <w:bCs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 </w:t>
      </w:r>
      <w:r/>
    </w:p>
    <w:p>
      <w:pPr>
        <w:jc w:val="both"/>
      </w:pP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орядок списання</w:t>
      </w:r>
      <w:r>
        <w:rPr>
          <w:sz w:val="28"/>
          <w:szCs w:val="28"/>
        </w:rPr>
        <w:t xml:space="preserve">, безоплатної передачі </w:t>
      </w:r>
      <w:r>
        <w:rPr>
          <w:sz w:val="28"/>
          <w:szCs w:val="28"/>
        </w:rPr>
        <w:t xml:space="preserve">майна, яке</w:t>
      </w:r>
      <w:r>
        <w:rPr>
          <w:sz w:val="28"/>
          <w:szCs w:val="28"/>
        </w:rPr>
        <w:t xml:space="preserve"> належить до</w:t>
      </w:r>
      <w:r>
        <w:rPr>
          <w:sz w:val="28"/>
          <w:szCs w:val="28"/>
        </w:rPr>
        <w:t xml:space="preserve"> комунальної власності Менської </w:t>
      </w:r>
      <w:r>
        <w:rPr>
          <w:sz w:val="28"/>
          <w:szCs w:val="28"/>
        </w:rPr>
        <w:t xml:space="preserve">міської </w:t>
      </w:r>
      <w:bookmarkStart w:id="2" w:name="_GoBack"/>
      <w:r/>
      <w:bookmarkEnd w:id="2"/>
      <w:r>
        <w:rPr>
          <w:sz w:val="28"/>
          <w:szCs w:val="28"/>
        </w:rPr>
        <w:t xml:space="preserve">об’єднаної територіальної громади</w:t>
      </w:r>
      <w:r>
        <w:rPr>
          <w:sz w:val="28"/>
          <w:szCs w:val="28"/>
        </w:rPr>
        <w:t xml:space="preserve"> згідно додатку до даного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Відділу організаційної роботи та інформаційного забезпечення Менської міської ради довести це рішення до відома керівників головних розпорядників, розпорядників 3 рівня та одержувачів коштів Менської </w:t>
      </w:r>
      <w:r>
        <w:rPr>
          <w:color w:val="FF0000"/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об’єднаної територіальної громади.</w:t>
      </w:r>
      <w:r>
        <w:rPr>
          <w:sz w:val="28"/>
          <w:szCs w:val="28"/>
        </w:rPr>
        <w:t xml:space="preserve"> </w:t>
      </w:r>
      <w:bookmarkStart w:id="3" w:name="_Hlk32312508"/>
      <w:r/>
      <w:bookmarkEnd w:id="3"/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Керівникам всіх структурних підрозділів Менської </w:t>
      </w:r>
      <w:r>
        <w:rPr>
          <w:color w:val="FF0000"/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об’єднаної територіальної громади забезпечити дотримання вимог цього рішення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міського голови</w:t>
      </w:r>
      <w:r>
        <w:rPr>
          <w:sz w:val="28"/>
          <w:szCs w:val="28"/>
        </w:rPr>
        <w:t xml:space="preserve"> з питань діяльності виконкому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.</w:t>
      </w:r>
      <w:r/>
    </w:p>
    <w:p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</w:t>
      </w:r>
      <w:r>
        <w:rPr>
          <w:b/>
          <w:bCs/>
          <w:sz w:val="28"/>
          <w:szCs w:val="28"/>
        </w:rPr>
        <w:t xml:space="preserve"> голова                                           </w:t>
      </w:r>
      <w:r>
        <w:rPr>
          <w:b/>
          <w:bCs/>
          <w:sz w:val="28"/>
          <w:szCs w:val="28"/>
        </w:rPr>
        <w:t xml:space="preserve">Г.А.Примаков</w:t>
      </w:r>
      <w:r/>
    </w:p>
    <w:p>
      <w:pPr>
        <w:shd w:val="nil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</w:r>
      <w:r/>
    </w:p>
    <w:p>
      <w:pPr>
        <w:ind w:left="5528" w:right="1" w:firstLine="0"/>
        <w:jc w:val="both"/>
        <w:rPr>
          <w:rFonts w:ascii="Times New Roman" w:hAnsi="Times New Roman" w:cs="Times New Roman" w:eastAsia="Times New Roman"/>
          <w:sz w:val="24"/>
          <w:szCs w:val="28"/>
          <w:lang w:eastAsia="uk-UA"/>
        </w:rPr>
      </w:pPr>
      <w:r>
        <w:rPr>
          <w:b/>
          <w:sz w:val="24"/>
          <w:szCs w:val="28"/>
        </w:rPr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Додаток до рішення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40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сесії Менської міської ради 7 склика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ння від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16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.2020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Про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 порядок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 списання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, безоплатної передачі майна, яке належить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до 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комунальної власності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об’єднаної територіальної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eastAsia="uk-UA"/>
        </w:rPr>
        <w:t xml:space="preserve">громади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»</w:t>
      </w:r>
      <w:r>
        <w:rPr>
          <w:sz w:val="1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uk-UA"/>
        </w:rPr>
        <w:t xml:space="preserve">орядок списання, безоплатної передачі майна, яке належить до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uk-UA"/>
        </w:rPr>
        <w:t xml:space="preserve">комунальної власності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val="ru-RU" w:eastAsia="uk-UA"/>
        </w:rPr>
        <w:t xml:space="preserve">об'єднаної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uk-UA"/>
        </w:rPr>
        <w:t xml:space="preserve"> територіальної громади</w:t>
      </w:r>
      <w:r>
        <w:rPr>
          <w:color w:val="FF0000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І. Загальна частина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Порядок списання, безоплатної передачі майна,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об'єднаної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  (надалі –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Порядок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розроблено з метою ефективного використання майна, здійснення належного контролю за списанням основних засобів, встановлення єдиних вимог до порядку списання майна, що є комунальною власністю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об'єднаної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Цей Порядок розроблено відповідно до законів України «Про місцеве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Україні», «Про бухгалтерський облік та фінансову звітність в Україні», постанови Кабінету Міністрів України 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08.11.2007року № 1314 «Про затвердження Порядку списання об'єктів державної власності», національного положення (стандарт) бухгалтерського обліку в держаному секторі 121 «Основні засоби» (затверджено наказом Міністерства фінансів України від 12.10.10р.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№ 1202), методичних рекомендацій з бухгалтерського обліку основних засобів суб’єктів державного сектору (затверджено наказом Міністерства фінансів України від 13.01.15р. №11, із змінами та доповненнями (наказ Міністерства фінансів  від 25.09.15р. № 840).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1.1. Порядок визначає єдині вимоги до порядку списання майна,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об'єднаної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громади, а саме: матеріальні активи, що відповідно до законодавства України визнаються основними засобами 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надалі – майно)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1.2. Списання майна здійснюється способом ліквідації, безоплатної передачі з балансу виконавчих органів міської ради, підприємств, установ, організацій, закладів.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1.3. Суб'єктами господарювання є комунальні підприємства, бюджетні установи, організації, заклади, що засновані на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об'єднаної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 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надалі - суб'єкти господарювання, бюджетні установи)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1.4. Терміни, які використовуються у цьому Порядку, вживаються у значенні, наведеному у законодавчих актах, що регулюють питання правового режиму власності відповідного майна та питання управління майном, його оцінки та бухгалтерського обліку.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1.5. Порядок поширюється на майно,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об'єднаної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закріплено за суб'єктами господарювання, бюджетними установами або виконавчими органами міської ради на праві господарського відання або на праві оперативного управління.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1.6. Дія цього Порядку не поширюється на майно, порядок списання якого визначається окремими законами України та нормативно-правовими актами.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ІІ. Порядок списання майна, яке належить до комунальної власності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uk-UA"/>
        </w:rPr>
        <w:t xml:space="preserve">об'єднаної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територіальної громади , способом ліквідації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 Списанню з балансів 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уб'єктів господарювання, бюджетних установ або виконавчих органів міської ради підлягає майно, що відповідає наведеним нижче критеріям за умови, що знос, нарахований у розмірі 100 відсотків вартості основних засобів, не може бути підставою для їх списання: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2.1.1. Фізично зношене, морально застаріле, непридатне для подальшого використання.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2.1.2.Виявлене у результаті інвентаризації як недостача (здійснюється списання після відшкодування його вартості, крім випадків, коли здійс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нити таке відшкодування неможливо). Відшкодування сум збитків здійснюється відповідно до Закону України «Про визначення розміру збитків, завданих підприємству, установі, організації розкраданням, знищенням (псуванням), недостачею або втратою дорогоцінних 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еталів, дорогоцінного каміння та валютних цінностей» та постанови Кабінету Міністрів від 22.01.96р. № 116 «Про затвердження Порядку визначення розміру збитків від розкрадання, нестачі, знищення (псування) матеріальних цінностей» із змінами та доповненнями.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2.1.3. Втратило критерій визнання активу, тобто отримання економічних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вигод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 його використання у майбутньому не очікується (морально застаріле, фізично зношене).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2.1.4. Пошкоджене внаслідок аварій чи стихійного лиха (за умови, що відновлення його є неможливим та/або економічно недоцільним).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 Списання майна здійснює суб'єкт господарювання, бюджетна установа або виконавчий орган міської ради, на балансі якого воно перебуває, після отримання на це відповідного дозволу, який надається: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2.2.1. На списання об'єктів нерухомого майна, транспортних засобів, непридатних для подальшого використання і повністю не амортизованих основних засобів – рішен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ям міської ради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 та погодженого заступником міського голови, якому підпорядковується відповідний суб’єкт господарювання.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2.2.2. На списання повністю амортизованих основних засобів, первісна (переоцінена) вартість яких становить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більш як 5000 грн.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за одиницю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рішенням міської ради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 та погодженого заступником міського голови, якому підпорядковується відповідний суб’єкт господарювання.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2.2.3. На списання повністю амортизованих основних засобів первісна (переоцінена) вартість яких становить д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о 5000 грн.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за одиницю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– за наказом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або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розпорядженням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керівника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суб’єкта господарювання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бюджетної установи і виконавчих органів відповідно до цього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Порядку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2.2.4. Суб'єкти господарювання, бюджетні установи та виконавчі органи міської ради при списанні майна, яке не належить до основних засобів, а саме: інших необоротн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их матеріальних активів, малоцінних необоротних матеріальних активів, нематеріальних активів та всіх груп запасів, повинні керуватися нормами діючого законодавства України і проводити їх списання без надання дозволу рішенням сесії міської ради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ради. При цьому керівник контролює процес списання і несе відповідальність за достовірність та правильність документів на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 З метою отримання дозволу на списання майна суб'єкти господарювання, бюджетні установи та виконавчі органи міської ради за актом прийняття-передачі подають протягом року, по мірі необхідності,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до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юридичного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необхідні документи, передбачені законодавством та цим Порядком для їх попереднього розгляду та встановлення відповідності до всіх нормативних документів, які регламентують порядок надання дозволу на списання майна, що перебуває в комунальній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 , а саме: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Обґрунтування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необхідності та доцільності списання майна, а також наявність обтяжень чи обмежень стосовно розпорядження майном.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2.3.2. Акт інвентаризації майна, що пропонується до списання, згідно з додатком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Порядку.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2.3.3. Акт технічного стану майна, затверджений керівником суб'єкта господарювання або керівником виконавчого органу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2.3.4. Копії документів на майно за наявності (у разі відсутності надається пояснення).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2.3.5. При списанні транспортного засобу, крім зазначених вище документів, подає: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2.3.6. Копію технічного паспорта.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2.3.7. Акт технічного стану автотранспортного засобу.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2.3.8. Висновок балансоутримувача з визначення придатності для подальшої експлуатації транспортного засобу або його частин.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2.4. Керівник суб'єкта господарювання або виконавчого органу міської ради несе відповідальність за зміст наданих документів та достовірність наведених у них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2.5.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Юридичний 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 актом прийняття-передачі передає до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секретаріату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 повний пакет документів, що стосуються майна, яке пропонується до списання.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2.6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Секретаріат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 надає для розгляду пакет документів  постійній комісії міської ради з питань бюджету, економіки та комунальної власності для отримання висновку щодо доцільності (або недоцільності) надання міською радою дозволу на списання комунального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2.7. Після отримання висновку постійної комісії міської ради з питань бюджету, економіки та комунальної власності,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секретаріат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 актом прийняття-передачі передає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юридичному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ської міської ради повний пакет розглянутих комісією документів, що стосуються комунального майна, яке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2.8. Суб'єкти господарювання, бюджетні установи та виконавчі органи міської ради після отримання по акту прийняття-передачі від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юридичного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повного пакету документів та висновку постійної комісії міської ради з питань бюджету, економіки та комунальної власності щодо доцільнос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ті (або недоцільності) надання міською радою дозволу на списання майна готують звернення стосовно надання дозволу на списання майна та разом повний пакет документів (з висновком постійної комісії міської ради) до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2.9. Рішення про надання чи відмову у наданні згоди на списання майна приймається відповідно чинного законодавства України.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2.10. Рішення про надання згоди на списання майна оформляється у формі рішення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 Рішення про відмову у наданні згоди на списання майна приймається у разі, коли: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2.11.1. Документи не відповідають вимогам, визначеним у пункті 2.3 і 2.11 цього Порядку, або надано не повний перелік документів.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2.11.2. Визначено інші способи використання майна, що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2.11.3. Заявник подав передбачені цим Порядком документи з порушенням установлених вимог, а також коли у документах наявні суперечності;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2.11.4. Відповідно до законодавства заборонено розпорядження майном.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2.12. Для встановлення факту непридатності майна, що є комунальною власністю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об'єднаної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і встановлення неможливості або неефективності проведення його відновного ре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монту чи неможливості його використання іншим чином, а також для оформлення документів на його списання, розпорядчим актом керівника суб’єкта господарювання, бюджетної установи, організації або виконавчого органу міської ради утворюється комісія у складі: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Керівника або його заступника (голова комісії);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Головного бухгалтера або його заступника (в установі де штатним розписом посада головного бухгалтера не передбачена – особи, на яку покладено ведення бухгалтерського обліку);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Працівників відповідного профілю, які добре знають об'єкти, що підлягають списанню.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2.13. Повноваження з визначення непридатності майна можуть бути надані щорічній інвентаризаційній комісії.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2.14. Розпорядчий акт утворення постійно діючої інвентаризаційної комісії поновлюється щорічно або за потреби.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2.15. Для участі у роботі комісії зі встановлення непридатності майна, що перебуває під наглядом державних інспекцій, запрошується фахівець відповідної інспекції, відповідно до чинного законодавства України, який підписує акт 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списання або передає комісії свій письмовий висновок, який додається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 є його невід'ємною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 Комісія суб'єкта господарювання, бюджетної установи або виконавчого органу міської ради: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2.16.1. Проводить у встановленому законодавством України порядку інвентаризацію майна, що пропонується до списання, та за її результатами складає відповідний акт.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2.16.2. Проводить обстеження майна, що підлягає списанню, використовуючи при цьому необхідну технічну документацію (технічні паспорти, відомості дефектів та інші документи), а також дані бухгалтерського обліку.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2.16.3. Визначає економічну (технічну) доцільність чи недоцільність відновлення та/або подальшого використання майна і вносить відповідні пропозиції про його продаж, безоплатну передачу чи ліквідацію.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2.16.4. Встановлює кон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кретні причини списання майна: фізична зношеність, моральна застарілість, непридатність для подальшого використання, або пошкодження внаслідок аварії чи стихійного лиха та неможливість відновлення, або виявлення його в результаті інвентаризації як нестачі.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2.16.5. Встановлює осіб, з вини яких трапився передчасний вихід майна з ладу (якщо такі є).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2.16.6. Визначає можливість використання окремих вузлів, деталей, матеріалів та агрегатів об'єкта, що підлягає списанню і проводить їх оцінку.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2.16.7. Здійснює контроль за вилученням зі списаного майна придатн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их вузлів, деталей, матеріалів та агрегатів, а також вузлів, деталей, матеріалів та агрегатів, що містять дорогоцінні метали і дорогоцінне каміння, визначає їх кількість, вагу та контролює здачу на склад і оприбуткування на відповідних балансових рахунках.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2.16.8. Складає відповідно до законодавства України акти на списання майна за встановленою типовою формою.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2.16.9. Комісія несе відповідальність за правдивість і достовірність встановлених у ході роботи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 За результатами роботи складається протокол засідання комісії, до якого додаються: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2.17.1. Акт інвентаризації майна комунальної власності, що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2.17.2. Акти технічного стану майна, що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2.17.3. Акти на списання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2.17.4. Інші документи (копія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аварію, висновки відповідних інспекцій, державних органів тощо (за наявності).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2.18. У про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токолі засідання комісії зазначаються пропозиції щодо способів використання майна, списання якого за висновками комісії є недоцільними, заходи з відшкодування вартості майна, у результаті інвентаризації якого виявлена нестача, чи розукомплектованого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2.19. Протокол засідання комісії підписують всі члени комісії, які несуть відповідальність за зміст та достовірність наведених у протоколі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2.20. У разі незгоди з рішенням комісії її члени мають право викласти у письмовій формі свою окрему думку, що додається до протоколу засідання і є його невід'ємною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2.21. В акті на списання майна детально зазначаються причини його списання та робиться висновок про економічну (технічну) недоцільність та/або неможливість відновлення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2.22. У разі списання майна, пошкодженого внаслідок аварії чи стихійного лиха,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його списання додається належним чином завірена копія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аварію, у якій зазначаються причини, що призвели до неї.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2.23. Протокол засідання комісії, акт інвентаризації, акти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списання майна та технічного стану затверджує керівник суб'єкта господарювання, бюджетної установи або керівник відповідного виконавчого органу міської ради, який несе персональну відповідальність за зміст та достовірність наведених у документах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2.24. Розбирання та демонтаж майна, що пропонується до списання, проводиться тільки після отримання відповідного дозволу на списання, оформленого згідно з цим Порядком (крім випадків пошкодження майна внаслідок аварії чи стихійного лиха).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2.25. Розбирання, демонтаж та списання майна, а також відо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браження на рахунках бухгалтерського обліку фактів проведення відповідних господарських операцій згідно з цим Порядком забезпечує безпосередньо суб'єкт господарювання, бюджетна установа або виконавчий орган міської ради, на балансі якого перебуває майно.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2.26. Всі вузли, деталі, мат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еріали та агрегати розібраного та демонтованого обладнання, придатні для ремонту іншого обладнання чи для подальшого використання, а також матеріали, отримані у результаті списання майна, оприбутковуються з відображенням на рахунках бухгалтерського обліку.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2.27. Непридатні для використання вузли, деталі, матеріали та агрегати, оприбутковуються як вторинна сировина (металобрухт тощо).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2.28. Оцінка придатних вузлів, деталей, матеріалів та агрегатів, отриманих у результаті списання майна, проводиться відповідно до законодавства України.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2.29. Вилучені після демонтажу та розбирання майна вузли, деталі, матеріали та агрегати, що містять дорогоцінні метали і дорогоцінне каміння, підлягають здачі суб'єктам госпо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дарювання, які провадять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 «Про ліцензування певних видів господарської діяльності».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2.30. Забороняється знищ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увати, здавати у брухт з кольорових і чорних металів техніку, апаратуру, прилади та інші вироби, що містять дорогоцінні метали і дорогоцінне каміння, без попереднього їх вилучення та одночасного оприбуткування придатних для подальшого використання деталей.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2.31. Кошти, що надійшли у результаті списання майна залишаються у розпорядженні суб'єктів господарювання, бюджетних установ та виконавчих органів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2.32. Суб'єкти господарювання, на балансі яких перебувало майно, подають у місячний термін після закінчення процедури розбирання, демонтажу та оприбуткування до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юридичного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 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 звіт про списання майна комунальної власності згідно з додатком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Порядку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2.33. У разі наявності зауважень до звіту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(?)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юридичний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ської міської ради повертає його суб'єктові господарювання для врахування зауважень та подання протягом 10 робочих днів звіту для нового розгляду.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2.34. Керівник суб'єкта господарювання, бюджетної установи або керівник відповідного виконавчого органу міської ради контролює дотримання норм цього Порядку та несе персональну відповідальність за зміст та достовірність наданих документів.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ІІІ. Порядок списання майна, яке належить до комунальної власності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територіальної громади , способом безоплатної передачі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3.1. Безоплатна передача майна, яке належить до комунальної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омади з балансу на баланс суб'єктів господарювання, бюджетних установ або виконавчих органів міської ради, які відносяться до сфери управління місцевих органів виконавчої влади здійснюється за погодженням сторін з дозволу виконавчого комітету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3.2. Безоплатна передача майна,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uk-UA"/>
        </w:rPr>
        <w:t xml:space="preserve">об'єднаної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 тому числі морально застаріла комп’ютерна те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ніка, придатна для подальшого використання передається з комунальної власності до інших форм власності згідно з вим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огами діючого законодавства України з дозволу міської ради, в разі відсутності запитів на таке майно від суб’єктів господарювання, бюджетних установ або виконавчих органів міської ради, які відносяться до сфери управління місцевих органів виконавчої влади.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ІV. Прикінцеві положення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4.1. Керівник суб'єкта господарювання, бюджетної установи або керівник виконавчого органу міської ради контролює, організовує, забезпечує та відповідає за дотримання процедури списання майна відповідно до цього Порядку.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4.2. Керівник суб'єкта господарювання, бюджетної установи та керівник виконавчих органів міської ради несуть відповідальність за зміст та достовірність документів, що надаються згідно з цим Порядком.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4.3. Керівник суб'єкта господарювання, бюджетної установи або керівник виконавчого органу міської ради відповідає згідно з чинним законодавством України за цільове використання коштів, отриманих від реалізації основних засобів (рухомого майна).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4.4. Спірні питання, що виникають у процесі списання майна відповідно до цього Порядку, вирішуються у відповідності з вимогами чинн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ого законодавства України.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sz w:val="24"/>
          <w:lang w:eastAsia="uk-UA"/>
        </w:rPr>
      </w:pPr>
      <w:r>
        <w:rPr>
          <w:sz w:val="18"/>
        </w:rPr>
      </w:r>
      <w:bookmarkStart w:id="0" w:name="_Hlk42272342"/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bCs/>
          <w:sz w:val="24"/>
          <w:szCs w:val="28"/>
          <w:lang w:val="ru-RU" w:eastAsia="uk-UA"/>
        </w:rPr>
        <w:t xml:space="preserve">1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до порядку списання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майна, яке належить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комунальної власності Менської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міської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об’єднаної територіальної громади. </w:t>
      </w:r>
      <w:bookmarkEnd w:id="0"/>
      <w:r>
        <w:rPr>
          <w:sz w:val="18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ЗАТВЕРДЖУЮ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 (посада керівника суб’єкта господарювання,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бюджетної установи або виконавчого органу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міської ради)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 (підпис),</w:t>
        <w:tab/>
        <w:t xml:space="preserve">(ініціали та прізвище)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 20____ р.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М. П.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АКТ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інвентаризації майна, що пропонується до списання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(найменування суб’єкта господарювання та його місцезнаходження)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На підставі наказу від ___________ 20 ___ р. № 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Комісією у складі 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540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(посада, прізвище та ініціали членів комісії)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Проведено інвентаризацію майна комунальної власності,  що пропонується до списання станом на ______   ________ 20 __ 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Інвентаризацію розпочато ___ _________ 20 __ р.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Інвентаризацію закінчено ___ _________ 20 __ р.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 час проведення інвентаризації встановлено: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tbl>
      <w:tblPr>
        <w:tblW w:w="10260" w:type="dxa"/>
        <w:jc w:val="center"/>
        <w:tblCellSpacing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80"/>
        <w:gridCol w:w="1378"/>
        <w:gridCol w:w="1020"/>
        <w:gridCol w:w="930"/>
        <w:gridCol w:w="1005"/>
        <w:gridCol w:w="1455"/>
        <w:gridCol w:w="911"/>
        <w:gridCol w:w="1455"/>
        <w:gridCol w:w="1020"/>
      </w:tblGrid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Наймену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вання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випуску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(рік</w:t>
            </w:r>
            <w:r>
              <w:rPr>
                <w:rFonts w:ascii="Times New Roman" w:hAnsi="Times New Roman" w:cs="Times New Roman" w:eastAsia="Times New Roman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введення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 експлуатацію)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0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Станом на _____________ 200__ р.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  <w:trHeight w:val="2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Інвентар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ний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Заводсь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кий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Фактично виявлено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За даними бухгалтерського обліку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7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первісна (переоцінена) вартість, грн..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5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первісна (переоцінена) вартість, грн.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1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0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7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1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0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7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</w:tbl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Усього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2551" w:leader="none"/>
          <w:tab w:val="left" w:pos="5102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Голова комісії:</w:t>
        <w:tab/>
        <w:t xml:space="preserve">______________</w:t>
        <w:tab/>
        <w:t xml:space="preserve">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540" w:firstLine="0"/>
        <w:jc w:val="both"/>
        <w:spacing w:lineRule="auto" w:line="240" w:after="0"/>
        <w:shd w:val="clear" w:color="auto" w:fill="FFFFFF"/>
        <w:tabs>
          <w:tab w:val="left" w:pos="566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(підпис)</w:t>
        <w:tab/>
        <w:t xml:space="preserve">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2551" w:leader="none"/>
          <w:tab w:val="left" w:pos="5102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комісії:</w:t>
        <w:tab/>
        <w:t xml:space="preserve">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</w:t>
        <w:tab/>
        <w:t xml:space="preserve">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540" w:firstLine="0"/>
        <w:jc w:val="both"/>
        <w:spacing w:lineRule="auto" w:line="240" w:after="0"/>
        <w:shd w:val="clear" w:color="auto" w:fill="FFFFFF"/>
        <w:tabs>
          <w:tab w:val="left" w:pos="566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підпис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)</w:t>
        <w:tab/>
        <w:t xml:space="preserve">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sz w:val="24"/>
          <w:lang w:eastAsia="uk-UA"/>
        </w:rPr>
      </w:pP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bCs/>
          <w:sz w:val="24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до порядку списання 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майна, яке належить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комунальної власності Менської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міської</w:t>
      </w:r>
      <w:r>
        <w:rPr>
          <w:rFonts w:ascii="Times New Roman" w:hAnsi="Times New Roman" w:cs="Times New Roman" w:eastAsia="Times New Roman"/>
          <w:bCs/>
          <w:sz w:val="24"/>
          <w:szCs w:val="28"/>
          <w:lang w:eastAsia="uk-UA"/>
        </w:rPr>
        <w:t xml:space="preserve"> об’єднаної територіальної громади</w:t>
      </w:r>
      <w:r>
        <w:rPr>
          <w:sz w:val="18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ЗАТВЕРДЖУЮ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(посада керівника суб’єкта господарювання,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бюджетної установи або виконавчого органу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міської ради)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tabs>
          <w:tab w:val="left" w:pos="6945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(підпис),</w:t>
        <w:tab/>
        <w:t xml:space="preserve">(ініціали та прізвище)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 20____ р.</w:t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М. П.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ЗВІТ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списання основних засобів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Усього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Голова комісії:</w:t>
        <w:tab/>
        <w:t xml:space="preserve">______________</w:t>
        <w:tab/>
        <w:tab/>
        <w:t xml:space="preserve">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tabs>
          <w:tab w:val="left" w:pos="5528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(підпис)</w:t>
        <w:tab/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комісії:</w:t>
        <w:tab/>
        <w:t xml:space="preserve">______________</w:t>
        <w:tab/>
        <w:tab/>
        <w:t xml:space="preserve">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tabs>
          <w:tab w:val="left" w:pos="5528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підпис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)</w:t>
        <w:tab/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Усього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Голова комісії:</w:t>
        <w:tab/>
        <w:t xml:space="preserve">______________</w:t>
        <w:tab/>
        <w:tab/>
        <w:t xml:space="preserve">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tabs>
          <w:tab w:val="left" w:pos="5528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(підпис)</w:t>
        <w:tab/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ініціали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комісії:</w:t>
        <w:tab/>
        <w:t xml:space="preserve">______________</w:t>
        <w:tab/>
        <w:tab/>
        <w:t xml:space="preserve">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tabs>
          <w:tab w:val="left" w:pos="5528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(підпис)</w:t>
        <w:tab/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(ініціали та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прізвище)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Droid Sans">
    <w:panose1 w:val="020B0502000000000001"/>
  </w:font>
  <w:font w:name="OpenSymbol">
    <w:panose1 w:val="05010000000000000000"/>
  </w:font>
  <w:font w:name="Lohit Hindi">
    <w:panose1 w:val="020B06090308040202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2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1"/>
    <w:next w:val="561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3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1"/>
    <w:next w:val="561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3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1"/>
    <w:next w:val="561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3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3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3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3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1"/>
    <w:next w:val="561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3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3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1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3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lang w:eastAsia="ar-SA"/>
    </w:rPr>
  </w:style>
  <w:style w:type="paragraph" w:styleId="562">
    <w:name w:val="Heading 1"/>
    <w:basedOn w:val="561"/>
    <w:next w:val="561"/>
    <w:qFormat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WW8Num2z0"/>
    <w:rPr>
      <w:rFonts w:ascii="Symbol" w:hAnsi="Symbol" w:cs="OpenSymbol"/>
    </w:rPr>
  </w:style>
  <w:style w:type="character" w:styleId="567" w:customStyle="1">
    <w:name w:val="WW8Num2z1"/>
    <w:rPr>
      <w:rFonts w:ascii="OpenSymbol" w:hAnsi="OpenSymbol" w:cs="OpenSymbol"/>
    </w:rPr>
  </w:style>
  <w:style w:type="character" w:styleId="568" w:customStyle="1">
    <w:name w:val="Основной шрифт абзаца2"/>
  </w:style>
  <w:style w:type="character" w:styleId="569" w:customStyle="1">
    <w:name w:val="Absatz-Standardschriftart"/>
  </w:style>
  <w:style w:type="character" w:styleId="570" w:customStyle="1">
    <w:name w:val="WW-Absatz-Standardschriftart"/>
  </w:style>
  <w:style w:type="character" w:styleId="571" w:customStyle="1">
    <w:name w:val="WW8Num3z0"/>
    <w:rPr>
      <w:rFonts w:ascii="Symbol" w:hAnsi="Symbol" w:cs="OpenSymbol"/>
    </w:rPr>
  </w:style>
  <w:style w:type="character" w:styleId="572" w:customStyle="1">
    <w:name w:val="WW8Num3z1"/>
    <w:rPr>
      <w:rFonts w:ascii="OpenSymbol" w:hAnsi="OpenSymbol" w:cs="OpenSymbol"/>
    </w:rPr>
  </w:style>
  <w:style w:type="character" w:styleId="573" w:customStyle="1">
    <w:name w:val="WW-Absatz-Standardschriftart1"/>
  </w:style>
  <w:style w:type="character" w:styleId="574" w:customStyle="1">
    <w:name w:val="WW-Absatz-Standardschriftart11"/>
  </w:style>
  <w:style w:type="character" w:styleId="575" w:customStyle="1">
    <w:name w:val="WW-Absatz-Standardschriftart111"/>
  </w:style>
  <w:style w:type="character" w:styleId="576" w:customStyle="1">
    <w:name w:val="WW-Absatz-Standardschriftart1111"/>
  </w:style>
  <w:style w:type="character" w:styleId="577" w:customStyle="1">
    <w:name w:val="WW-Absatz-Standardschriftart11111"/>
  </w:style>
  <w:style w:type="character" w:styleId="578" w:customStyle="1">
    <w:name w:val="WW-Absatz-Standardschriftart111111"/>
  </w:style>
  <w:style w:type="character" w:styleId="579" w:customStyle="1">
    <w:name w:val="WW-Absatz-Standardschriftart1111111"/>
  </w:style>
  <w:style w:type="character" w:styleId="580" w:customStyle="1">
    <w:name w:val="WW-Absatz-Standardschriftart11111111"/>
  </w:style>
  <w:style w:type="character" w:styleId="581" w:customStyle="1">
    <w:name w:val="WW-Absatz-Standardschriftart111111111"/>
  </w:style>
  <w:style w:type="character" w:styleId="582" w:customStyle="1">
    <w:name w:val="Основной шрифт абзаца1"/>
  </w:style>
  <w:style w:type="character" w:styleId="583" w:customStyle="1">
    <w:name w:val="Знак Знак"/>
    <w:rPr>
      <w:b/>
      <w:sz w:val="32"/>
      <w:lang w:val="uk-UA" w:bidi="ar-SA" w:eastAsia="ar-SA"/>
    </w:rPr>
  </w:style>
  <w:style w:type="character" w:styleId="584" w:customStyle="1">
    <w:name w:val="Маркери списку"/>
    <w:rPr>
      <w:rFonts w:ascii="OpenSymbol" w:hAnsi="OpenSymbol" w:cs="OpenSymbol" w:eastAsia="OpenSymbol"/>
    </w:rPr>
  </w:style>
  <w:style w:type="paragraph" w:styleId="585" w:customStyle="1">
    <w:name w:val="Заголовок"/>
    <w:basedOn w:val="561"/>
    <w:next w:val="586"/>
    <w:rPr>
      <w:rFonts w:ascii="Arial" w:hAnsi="Arial" w:cs="Lohit Hindi" w:eastAsia="Droid Sans"/>
      <w:sz w:val="28"/>
      <w:szCs w:val="28"/>
    </w:rPr>
    <w:pPr>
      <w:keepNext/>
      <w:spacing w:after="120" w:before="240"/>
    </w:pPr>
  </w:style>
  <w:style w:type="paragraph" w:styleId="586">
    <w:name w:val="Body Text"/>
    <w:basedOn w:val="561"/>
    <w:pPr>
      <w:spacing w:after="120"/>
    </w:pPr>
  </w:style>
  <w:style w:type="paragraph" w:styleId="587">
    <w:name w:val="List"/>
    <w:basedOn w:val="586"/>
    <w:rPr>
      <w:rFonts w:cs="Lohit Hindi"/>
    </w:rPr>
  </w:style>
  <w:style w:type="paragraph" w:styleId="588" w:customStyle="1">
    <w:name w:val="Название2"/>
    <w:basedOn w:val="561"/>
    <w:rPr>
      <w:rFonts w:cs="Mangal"/>
      <w:i/>
      <w:iCs/>
      <w:sz w:val="24"/>
      <w:szCs w:val="24"/>
    </w:rPr>
    <w:pPr>
      <w:spacing w:after="120" w:before="120"/>
    </w:pPr>
  </w:style>
  <w:style w:type="paragraph" w:styleId="589" w:customStyle="1">
    <w:name w:val="Указатель2"/>
    <w:basedOn w:val="561"/>
    <w:rPr>
      <w:rFonts w:cs="Mangal"/>
    </w:rPr>
  </w:style>
  <w:style w:type="paragraph" w:styleId="590" w:customStyle="1">
    <w:name w:val="Название1"/>
    <w:basedOn w:val="561"/>
    <w:rPr>
      <w:rFonts w:cs="Mangal"/>
      <w:i/>
      <w:iCs/>
      <w:sz w:val="24"/>
      <w:szCs w:val="24"/>
    </w:rPr>
    <w:pPr>
      <w:spacing w:after="120" w:before="120"/>
    </w:pPr>
  </w:style>
  <w:style w:type="paragraph" w:styleId="591" w:customStyle="1">
    <w:name w:val="Указатель1"/>
    <w:basedOn w:val="561"/>
    <w:rPr>
      <w:rFonts w:cs="Mangal"/>
    </w:rPr>
  </w:style>
  <w:style w:type="paragraph" w:styleId="592" w:customStyle="1">
    <w:name w:val="Розділ"/>
    <w:basedOn w:val="561"/>
    <w:rPr>
      <w:rFonts w:cs="Lohit Hindi"/>
      <w:i/>
      <w:iCs/>
      <w:sz w:val="24"/>
      <w:szCs w:val="24"/>
    </w:rPr>
    <w:pPr>
      <w:spacing w:after="120" w:before="120"/>
    </w:pPr>
  </w:style>
  <w:style w:type="paragraph" w:styleId="593" w:customStyle="1">
    <w:name w:val="Покажчик"/>
    <w:basedOn w:val="561"/>
    <w:rPr>
      <w:rFonts w:cs="Lohit Hind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Usher</dc:creator>
  <cp:keywords/>
  <cp:lastModifiedBy>Бернадська Тетяна Анатоліївна</cp:lastModifiedBy>
  <cp:revision>9</cp:revision>
  <dcterms:created xsi:type="dcterms:W3CDTF">2020-06-05T14:48:00Z</dcterms:created>
  <dcterms:modified xsi:type="dcterms:W3CDTF">2020-06-11T13:20:06Z</dcterms:modified>
</cp:coreProperties>
</file>