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88"/>
        <w:jc w:val="center"/>
        <w:spacing w:after="0" w:afterAutospacing="0" w:before="0" w:beforeAutospacing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4815" cy="605155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4815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4pt;height:47.6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89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389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389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Менського району Чернігівської області</w:t>
      </w:r>
      <w:r/>
    </w:p>
    <w:p>
      <w:pPr>
        <w:pStyle w:val="389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/>
    </w:p>
    <w:p>
      <w:pPr>
        <w:pStyle w:val="389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 О З П О Р Я Д Ж Е Н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Я</w:t>
      </w:r>
      <w:r/>
    </w:p>
    <w:p>
      <w:pPr>
        <w:pStyle w:val="389"/>
        <w:spacing w:after="0" w:afterAutospacing="0" w:before="0" w:beforeAutospacing="0"/>
      </w:pPr>
      <w:r>
        <w:t xml:space="preserve"> </w:t>
      </w:r>
      <w:r/>
    </w:p>
    <w:p>
      <w:pPr>
        <w:pStyle w:val="389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08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травня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2020 року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</w:rPr>
        <w:t xml:space="preserve">№ 129</w:t>
      </w:r>
      <w:r/>
    </w:p>
    <w:p>
      <w:pPr>
        <w:pStyle w:val="389"/>
        <w:spacing w:after="0" w:afterAutospacing="0" w:before="0" w:beforeAutospacing="0"/>
      </w:pPr>
      <w:r>
        <w:t xml:space="preserve"> </w:t>
      </w:r>
      <w:r/>
    </w:p>
    <w:p>
      <w:pPr>
        <w:pStyle w:val="389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внесення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змін</w:t>
      </w:r>
      <w:r>
        <w:rPr>
          <w:b/>
          <w:bCs/>
          <w:color w:val="000000"/>
          <w:sz w:val="28"/>
          <w:szCs w:val="28"/>
        </w:rPr>
        <w:t xml:space="preserve"> до </w:t>
      </w:r>
      <w:r>
        <w:rPr>
          <w:b/>
          <w:bCs/>
          <w:color w:val="000000"/>
          <w:sz w:val="28"/>
          <w:szCs w:val="28"/>
        </w:rPr>
        <w:t xml:space="preserve">загального</w:t>
      </w:r>
      <w:r/>
    </w:p>
    <w:p>
      <w:pPr>
        <w:pStyle w:val="389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та </w:t>
      </w:r>
      <w:r>
        <w:rPr>
          <w:b/>
          <w:bCs/>
          <w:color w:val="000000"/>
          <w:sz w:val="28"/>
          <w:szCs w:val="28"/>
        </w:rPr>
        <w:t xml:space="preserve">спеціального</w:t>
      </w:r>
      <w:r>
        <w:rPr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фонді</w:t>
      </w:r>
      <w:r>
        <w:rPr>
          <w:b/>
          <w:bCs/>
          <w:color w:val="000000"/>
          <w:sz w:val="28"/>
          <w:szCs w:val="28"/>
        </w:rPr>
        <w:t xml:space="preserve">в</w:t>
      </w:r>
      <w:r>
        <w:rPr>
          <w:b/>
          <w:bCs/>
          <w:color w:val="000000"/>
          <w:sz w:val="28"/>
          <w:szCs w:val="28"/>
        </w:rPr>
        <w:t xml:space="preserve"> бюджету</w:t>
      </w:r>
      <w:r/>
    </w:p>
    <w:p>
      <w:pPr>
        <w:pStyle w:val="389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</w:rPr>
        <w:t xml:space="preserve">об’єднаної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389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територіальної</w:t>
      </w:r>
      <w:r>
        <w:rPr>
          <w:b/>
          <w:bCs/>
          <w:color w:val="000000"/>
          <w:sz w:val="28"/>
          <w:szCs w:val="28"/>
        </w:rPr>
        <w:t xml:space="preserve">  </w:t>
      </w:r>
      <w:r>
        <w:rPr>
          <w:b/>
          <w:bCs/>
          <w:color w:val="000000"/>
          <w:sz w:val="28"/>
          <w:szCs w:val="28"/>
        </w:rPr>
        <w:t xml:space="preserve">громади</w:t>
      </w:r>
      <w:r>
        <w:rPr>
          <w:b/>
          <w:bCs/>
          <w:color w:val="000000"/>
          <w:sz w:val="28"/>
          <w:szCs w:val="28"/>
        </w:rPr>
        <w:t xml:space="preserve"> на 2020 </w:t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ік</w:t>
      </w:r>
      <w:r/>
    </w:p>
    <w:p>
      <w:pPr>
        <w:pStyle w:val="389"/>
        <w:ind w:right="4812"/>
        <w:spacing w:after="0" w:afterAutospacing="0" w:before="0" w:beforeAutospacing="0"/>
        <w:shd w:val="clear" w:color="auto" w:fill="FFFFFF"/>
        <w:widowControl w:val="off"/>
      </w:pPr>
      <w:r>
        <w:t xml:space="preserve"> </w:t>
      </w:r>
      <w:r/>
    </w:p>
    <w:p>
      <w:pPr>
        <w:pStyle w:val="389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положень</w:t>
      </w:r>
      <w:r>
        <w:rPr>
          <w:color w:val="000000"/>
          <w:sz w:val="28"/>
          <w:szCs w:val="28"/>
        </w:rPr>
        <w:t xml:space="preserve"> Бюджетного кодексу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, ст. 26 Закону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«Про </w:t>
      </w:r>
      <w:r>
        <w:rPr>
          <w:color w:val="000000"/>
          <w:sz w:val="28"/>
          <w:szCs w:val="28"/>
        </w:rPr>
        <w:t xml:space="preserve">місцеве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самоврядування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Україні</w:t>
      </w:r>
      <w:r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ішення</w:t>
      </w:r>
      <w:r>
        <w:rPr>
          <w:color w:val="000000"/>
          <w:sz w:val="28"/>
          <w:szCs w:val="28"/>
        </w:rPr>
        <w:t xml:space="preserve"> № 700 «Про бюджет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об’єднаної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громади</w:t>
      </w:r>
      <w:r>
        <w:rPr>
          <w:color w:val="000000"/>
          <w:sz w:val="28"/>
          <w:szCs w:val="28"/>
        </w:rPr>
        <w:t xml:space="preserve"> на 2020 </w:t>
      </w:r>
      <w:r>
        <w:rPr>
          <w:color w:val="000000"/>
          <w:sz w:val="28"/>
          <w:szCs w:val="28"/>
        </w:rPr>
        <w:t xml:space="preserve">рік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26.12.2019 року: </w:t>
      </w:r>
      <w:r/>
    </w:p>
    <w:p>
      <w:pPr>
        <w:pStyle w:val="389"/>
        <w:numPr>
          <w:ilvl w:val="0"/>
          <w:numId w:val="8"/>
        </w:numPr>
        <w:ind w:left="0" w:firstLine="709"/>
        <w:jc w:val="both"/>
        <w:spacing w:after="0" w:afterAutospacing="0" w:before="0" w:beforeAutospacing="0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Для оплати </w:t>
      </w:r>
      <w:r>
        <w:rPr>
          <w:color w:val="000000"/>
          <w:sz w:val="28"/>
          <w:szCs w:val="28"/>
        </w:rPr>
        <w:t xml:space="preserve">матеріальної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морал</w:t>
      </w:r>
      <w:r>
        <w:rPr>
          <w:color w:val="000000"/>
          <w:sz w:val="28"/>
          <w:szCs w:val="28"/>
        </w:rPr>
        <w:t xml:space="preserve">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шкоди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відповідно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ішенн</w:t>
      </w:r>
      <w:r>
        <w:rPr>
          <w:color w:val="000000"/>
          <w:sz w:val="28"/>
          <w:szCs w:val="28"/>
          <w:lang w:val="uk-UA"/>
        </w:rPr>
        <w:t xml:space="preserve">я </w:t>
      </w:r>
      <w:r>
        <w:rPr>
          <w:color w:val="000000"/>
          <w:sz w:val="28"/>
          <w:szCs w:val="28"/>
        </w:rPr>
        <w:t xml:space="preserve"> Менського районного суду Чернігівської області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09.08.2019 року по </w:t>
      </w:r>
      <w:r>
        <w:rPr>
          <w:color w:val="000000"/>
          <w:sz w:val="28"/>
          <w:szCs w:val="28"/>
        </w:rPr>
        <w:t xml:space="preserve">справі</w:t>
      </w:r>
      <w:r>
        <w:rPr>
          <w:color w:val="000000"/>
          <w:sz w:val="28"/>
          <w:szCs w:val="28"/>
        </w:rPr>
        <w:t xml:space="preserve"> №738/387/19, внести </w:t>
      </w:r>
      <w:r>
        <w:rPr>
          <w:color w:val="000000"/>
          <w:sz w:val="28"/>
          <w:szCs w:val="28"/>
        </w:rPr>
        <w:t xml:space="preserve">зміни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загального</w:t>
      </w:r>
      <w:r>
        <w:rPr>
          <w:color w:val="000000"/>
          <w:sz w:val="28"/>
          <w:szCs w:val="28"/>
        </w:rPr>
        <w:t xml:space="preserve"> фонду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освіти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по </w:t>
      </w:r>
      <w:r>
        <w:rPr>
          <w:color w:val="000000"/>
          <w:sz w:val="28"/>
          <w:szCs w:val="28"/>
        </w:rPr>
        <w:t xml:space="preserve">загальноосвітніх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навчальних</w:t>
      </w:r>
      <w:r>
        <w:rPr>
          <w:color w:val="000000"/>
          <w:sz w:val="28"/>
          <w:szCs w:val="28"/>
        </w:rPr>
        <w:t xml:space="preserve"> закладах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230575,00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а </w:t>
      </w:r>
      <w:r>
        <w:rPr>
          <w:color w:val="000000"/>
          <w:sz w:val="28"/>
          <w:szCs w:val="28"/>
        </w:rPr>
        <w:t xml:space="preserve">саме</w:t>
      </w:r>
      <w:r>
        <w:rPr>
          <w:color w:val="000000"/>
          <w:sz w:val="28"/>
          <w:szCs w:val="28"/>
        </w:rPr>
        <w:t xml:space="preserve">: </w:t>
      </w:r>
      <w:r>
        <w:rPr>
          <w:color w:val="000000"/>
          <w:sz w:val="28"/>
          <w:szCs w:val="28"/>
        </w:rPr>
        <w:t xml:space="preserve">збільшити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кошторисні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частині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видаткі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інші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поточні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видатки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+230575,00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а </w:t>
      </w:r>
      <w:r>
        <w:rPr>
          <w:color w:val="000000"/>
          <w:sz w:val="28"/>
          <w:szCs w:val="28"/>
        </w:rPr>
        <w:t xml:space="preserve">зменшити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видатки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оплату </w:t>
      </w:r>
      <w:r>
        <w:rPr>
          <w:color w:val="000000"/>
          <w:sz w:val="28"/>
          <w:szCs w:val="28"/>
        </w:rPr>
        <w:t xml:space="preserve">продуктів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харчування</w:t>
      </w:r>
      <w:r>
        <w:rPr>
          <w:color w:val="000000"/>
          <w:sz w:val="28"/>
          <w:szCs w:val="28"/>
        </w:rPr>
        <w:t xml:space="preserve"> 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-230575,00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38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0611020 КЕКВ 2230-230575,00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КЕКВ 2800+230575,00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.)</w:t>
      </w:r>
      <w:r/>
    </w:p>
    <w:p>
      <w:pPr>
        <w:pStyle w:val="389"/>
        <w:numPr>
          <w:ilvl w:val="0"/>
          <w:numId w:val="8"/>
        </w:numPr>
        <w:ind w:left="0" w:firstLine="709"/>
        <w:jc w:val="both"/>
        <w:spacing w:after="0" w:afterAutospacing="0" w:before="0" w:beforeAutospacing="0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метою </w:t>
      </w:r>
      <w:r>
        <w:rPr>
          <w:color w:val="000000"/>
          <w:sz w:val="28"/>
          <w:szCs w:val="28"/>
        </w:rPr>
        <w:t xml:space="preserve">недопущення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кредиторської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заборгованості</w:t>
      </w:r>
      <w:r>
        <w:rPr>
          <w:color w:val="000000"/>
          <w:sz w:val="28"/>
          <w:szCs w:val="28"/>
        </w:rPr>
        <w:t xml:space="preserve">, для оплати </w:t>
      </w:r>
      <w:r>
        <w:rPr>
          <w:color w:val="000000"/>
          <w:sz w:val="28"/>
          <w:szCs w:val="28"/>
        </w:rPr>
        <w:t xml:space="preserve">екологічного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податку</w:t>
      </w:r>
      <w:r>
        <w:rPr>
          <w:color w:val="000000"/>
          <w:sz w:val="28"/>
          <w:szCs w:val="28"/>
        </w:rPr>
        <w:t xml:space="preserve">,  внести </w:t>
      </w:r>
      <w:r>
        <w:rPr>
          <w:color w:val="000000"/>
          <w:sz w:val="28"/>
          <w:szCs w:val="28"/>
        </w:rPr>
        <w:t xml:space="preserve">зміни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загального</w:t>
      </w:r>
      <w:r>
        <w:rPr>
          <w:color w:val="000000"/>
          <w:sz w:val="28"/>
          <w:szCs w:val="28"/>
        </w:rPr>
        <w:t xml:space="preserve"> фонду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освіти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по </w:t>
      </w:r>
      <w:r>
        <w:rPr>
          <w:color w:val="000000"/>
          <w:sz w:val="28"/>
          <w:szCs w:val="28"/>
        </w:rPr>
        <w:t xml:space="preserve">загальноосвітніх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навчальних</w:t>
      </w:r>
      <w:r>
        <w:rPr>
          <w:color w:val="000000"/>
          <w:sz w:val="28"/>
          <w:szCs w:val="28"/>
        </w:rPr>
        <w:t xml:space="preserve"> закладах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9000,00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а </w:t>
      </w:r>
      <w:r>
        <w:rPr>
          <w:color w:val="000000"/>
          <w:sz w:val="28"/>
          <w:szCs w:val="28"/>
        </w:rPr>
        <w:t xml:space="preserve">саме</w:t>
      </w:r>
      <w:r>
        <w:rPr>
          <w:color w:val="000000"/>
          <w:sz w:val="28"/>
          <w:szCs w:val="28"/>
        </w:rPr>
        <w:t xml:space="preserve">: </w:t>
      </w:r>
      <w:r>
        <w:rPr>
          <w:color w:val="000000"/>
          <w:sz w:val="28"/>
          <w:szCs w:val="28"/>
        </w:rPr>
        <w:t xml:space="preserve">збільшити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кошторисні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частині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видатків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інші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поточні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видатки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+9000,00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а </w:t>
      </w:r>
      <w:r>
        <w:rPr>
          <w:color w:val="000000"/>
          <w:sz w:val="28"/>
          <w:szCs w:val="28"/>
        </w:rPr>
        <w:t xml:space="preserve">зменшити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видатки</w:t>
      </w:r>
      <w:r>
        <w:rPr>
          <w:color w:val="000000"/>
          <w:sz w:val="28"/>
          <w:szCs w:val="28"/>
        </w:rPr>
        <w:t xml:space="preserve"> на оплату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-9000,00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38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0611020  КЕКВ 2240-9000,00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КЕКВ 2800+9000,00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.)</w:t>
      </w:r>
      <w:r/>
    </w:p>
    <w:p>
      <w:pPr>
        <w:pStyle w:val="389"/>
        <w:numPr>
          <w:ilvl w:val="0"/>
          <w:numId w:val="8"/>
        </w:numPr>
        <w:ind w:left="0" w:firstLine="709"/>
        <w:jc w:val="both"/>
        <w:spacing w:after="0" w:afterAutospacing="0" w:before="0" w:beforeAutospacing="0"/>
        <w:tabs>
          <w:tab w:val="left" w:pos="1134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недопущення кредиторської заборгованості, для оплати теплопостачання, внести зміни до загального фонду відділу освіти Менської міської ради по дошкільних закладах освіти в сумі 5000,00 грн., а саме: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збільшити кошторисні призначення в частині видатків на оплату теплопостачання в травні місяці в сумі +5000,00 грн., за рахунок зменшення видатків в листопаді місяці на таку ж суму.</w:t>
      </w:r>
      <w:r/>
    </w:p>
    <w:p>
      <w:pPr>
        <w:pStyle w:val="38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0611010  КЕКВ 2271)</w:t>
      </w:r>
      <w:r/>
    </w:p>
    <w:p>
      <w:pPr>
        <w:pStyle w:val="389"/>
        <w:numPr>
          <w:ilvl w:val="0"/>
          <w:numId w:val="8"/>
        </w:numPr>
        <w:ind w:left="0" w:firstLine="709"/>
        <w:jc w:val="both"/>
        <w:spacing w:after="0" w:afterAutospacing="0" w:before="0" w:beforeAutospacing="0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метою </w:t>
      </w:r>
      <w:r>
        <w:rPr>
          <w:color w:val="000000"/>
          <w:sz w:val="28"/>
          <w:szCs w:val="28"/>
        </w:rPr>
        <w:t xml:space="preserve">недопущення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кредиторської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заборгованості</w:t>
      </w:r>
      <w:r>
        <w:rPr>
          <w:color w:val="000000"/>
          <w:sz w:val="28"/>
          <w:szCs w:val="28"/>
        </w:rPr>
        <w:t xml:space="preserve">, для оплати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виготовлення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човна</w:t>
      </w:r>
      <w:r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перевезення</w:t>
      </w:r>
      <w:r>
        <w:rPr>
          <w:color w:val="000000"/>
          <w:sz w:val="28"/>
          <w:szCs w:val="28"/>
        </w:rPr>
        <w:t xml:space="preserve"> людей по </w:t>
      </w:r>
      <w:r>
        <w:rPr>
          <w:color w:val="000000"/>
          <w:sz w:val="28"/>
          <w:szCs w:val="28"/>
        </w:rPr>
        <w:t xml:space="preserve">Макошинському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старостинському</w:t>
      </w:r>
      <w:r>
        <w:rPr>
          <w:color w:val="000000"/>
          <w:sz w:val="28"/>
          <w:szCs w:val="28"/>
        </w:rPr>
        <w:t xml:space="preserve"> округу, внести </w:t>
      </w:r>
      <w:r>
        <w:rPr>
          <w:color w:val="000000"/>
          <w:sz w:val="28"/>
          <w:szCs w:val="28"/>
        </w:rPr>
        <w:t xml:space="preserve">зміни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кошторису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помісячного</w:t>
      </w:r>
      <w:r>
        <w:rPr>
          <w:color w:val="000000"/>
          <w:sz w:val="28"/>
          <w:szCs w:val="28"/>
        </w:rPr>
        <w:t xml:space="preserve"> плану </w:t>
      </w:r>
      <w:r>
        <w:rPr>
          <w:color w:val="000000"/>
          <w:sz w:val="28"/>
          <w:szCs w:val="28"/>
        </w:rPr>
        <w:t xml:space="preserve">асигнувань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загального</w:t>
      </w:r>
      <w:r>
        <w:rPr>
          <w:color w:val="000000"/>
          <w:sz w:val="28"/>
          <w:szCs w:val="28"/>
        </w:rPr>
        <w:t xml:space="preserve"> фонду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по заходах </w:t>
      </w:r>
      <w:r>
        <w:rPr>
          <w:color w:val="000000"/>
          <w:sz w:val="28"/>
          <w:szCs w:val="28"/>
        </w:rPr>
        <w:t xml:space="preserve">із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запобігання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ліквідації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надзвичайних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ситуацій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наслідків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стихійного</w:t>
      </w:r>
      <w:r>
        <w:rPr>
          <w:color w:val="000000"/>
          <w:sz w:val="28"/>
          <w:szCs w:val="28"/>
        </w:rPr>
        <w:t xml:space="preserve"> лиха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Програма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розвитку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питань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цивільного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об’єднаної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громади</w:t>
      </w:r>
      <w:r>
        <w:rPr>
          <w:color w:val="000000"/>
          <w:sz w:val="28"/>
          <w:szCs w:val="28"/>
        </w:rPr>
        <w:t xml:space="preserve"> на 2020-2022 роки», а </w:t>
      </w:r>
      <w:r>
        <w:rPr>
          <w:color w:val="000000"/>
          <w:sz w:val="28"/>
          <w:szCs w:val="28"/>
        </w:rPr>
        <w:t xml:space="preserve">саме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збільшити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кошторисні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частині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видатків</w:t>
      </w:r>
      <w:r>
        <w:rPr>
          <w:color w:val="000000"/>
          <w:sz w:val="28"/>
          <w:szCs w:val="28"/>
        </w:rPr>
        <w:t xml:space="preserve"> на оплату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5800,00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а </w:t>
      </w:r>
      <w:r>
        <w:rPr>
          <w:color w:val="000000"/>
          <w:sz w:val="28"/>
          <w:szCs w:val="28"/>
        </w:rPr>
        <w:t xml:space="preserve">зменшити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кошторисні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</w:rPr>
        <w:t xml:space="preserve"> в </w:t>
      </w:r>
      <w:r>
        <w:rPr>
          <w:color w:val="000000"/>
          <w:sz w:val="28"/>
          <w:szCs w:val="28"/>
        </w:rPr>
        <w:t xml:space="preserve">частині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видатків</w:t>
      </w:r>
      <w:r>
        <w:rPr>
          <w:color w:val="000000"/>
          <w:sz w:val="28"/>
          <w:szCs w:val="28"/>
        </w:rPr>
        <w:t xml:space="preserve"> на оплату </w:t>
      </w:r>
      <w:r>
        <w:rPr>
          <w:color w:val="000000"/>
          <w:sz w:val="28"/>
          <w:szCs w:val="28"/>
        </w:rPr>
        <w:t xml:space="preserve">предметів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матеріалів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5800,00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38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 КПКВК 0118110 КЕКВ 2210-5800,00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КЕКВ 2240+5800,00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.)</w:t>
      </w:r>
      <w:r/>
    </w:p>
    <w:p>
      <w:pPr>
        <w:pStyle w:val="389"/>
        <w:numPr>
          <w:ilvl w:val="0"/>
          <w:numId w:val="8"/>
        </w:numPr>
        <w:ind w:left="0" w:firstLine="709"/>
        <w:jc w:val="both"/>
        <w:spacing w:after="0" w:afterAutospacing="0" w:before="0" w:beforeAutospacing="0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метою </w:t>
      </w:r>
      <w:r>
        <w:rPr>
          <w:color w:val="000000"/>
          <w:sz w:val="28"/>
          <w:szCs w:val="28"/>
        </w:rPr>
        <w:t xml:space="preserve">придбання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ланцюгової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бензопили</w:t>
      </w:r>
      <w:r>
        <w:rPr>
          <w:color w:val="000000"/>
          <w:sz w:val="28"/>
          <w:szCs w:val="28"/>
        </w:rPr>
        <w:t xml:space="preserve"> MS-361 для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 особам, </w:t>
      </w:r>
      <w:r>
        <w:rPr>
          <w:color w:val="000000"/>
          <w:sz w:val="28"/>
          <w:szCs w:val="28"/>
        </w:rPr>
        <w:t xml:space="preserve">які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перебувають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обліку</w:t>
      </w:r>
      <w:r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 xml:space="preserve">комунальній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установі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Територіальний</w:t>
      </w:r>
      <w:r>
        <w:rPr>
          <w:color w:val="000000"/>
          <w:sz w:val="28"/>
          <w:szCs w:val="28"/>
        </w:rPr>
        <w:t xml:space="preserve"> центр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обслуговування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)»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  внести </w:t>
      </w:r>
      <w:r>
        <w:rPr>
          <w:color w:val="000000"/>
          <w:sz w:val="28"/>
          <w:szCs w:val="28"/>
        </w:rPr>
        <w:t xml:space="preserve">зміни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спеціального</w:t>
      </w:r>
      <w:r>
        <w:rPr>
          <w:color w:val="000000"/>
          <w:sz w:val="28"/>
          <w:szCs w:val="28"/>
        </w:rPr>
        <w:t xml:space="preserve"> фонду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в </w:t>
      </w:r>
      <w:r>
        <w:rPr>
          <w:color w:val="000000"/>
          <w:sz w:val="28"/>
          <w:szCs w:val="28"/>
        </w:rPr>
        <w:t xml:space="preserve">частині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власних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надходжень</w:t>
      </w:r>
      <w:r>
        <w:rPr>
          <w:color w:val="000000"/>
          <w:sz w:val="28"/>
          <w:szCs w:val="28"/>
        </w:rPr>
        <w:t xml:space="preserve"> (код </w:t>
      </w:r>
      <w:r>
        <w:rPr>
          <w:color w:val="000000"/>
          <w:sz w:val="28"/>
          <w:szCs w:val="28"/>
        </w:rPr>
        <w:t xml:space="preserve">доходів</w:t>
      </w:r>
      <w:r>
        <w:rPr>
          <w:color w:val="000000"/>
          <w:sz w:val="28"/>
          <w:szCs w:val="28"/>
        </w:rPr>
        <w:t xml:space="preserve"> 25010100), а </w:t>
      </w:r>
      <w:r>
        <w:rPr>
          <w:color w:val="000000"/>
          <w:sz w:val="28"/>
          <w:szCs w:val="28"/>
        </w:rPr>
        <w:t xml:space="preserve">саме</w:t>
      </w:r>
      <w:r>
        <w:rPr>
          <w:color w:val="000000"/>
          <w:sz w:val="28"/>
          <w:szCs w:val="28"/>
        </w:rPr>
        <w:t xml:space="preserve">: </w:t>
      </w:r>
      <w:r>
        <w:rPr>
          <w:color w:val="000000"/>
          <w:sz w:val="28"/>
          <w:szCs w:val="28"/>
        </w:rPr>
        <w:t xml:space="preserve">зменшити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кошторисні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частині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видатків</w:t>
      </w:r>
      <w:r>
        <w:rPr>
          <w:color w:val="000000"/>
          <w:sz w:val="28"/>
          <w:szCs w:val="28"/>
        </w:rPr>
        <w:t xml:space="preserve"> на оплату </w:t>
      </w:r>
      <w:r>
        <w:rPr>
          <w:color w:val="000000"/>
          <w:sz w:val="28"/>
          <w:szCs w:val="28"/>
        </w:rPr>
        <w:t xml:space="preserve">предметів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матеріалів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15500,00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а </w:t>
      </w:r>
      <w:r>
        <w:rPr>
          <w:color w:val="000000"/>
          <w:sz w:val="28"/>
          <w:szCs w:val="28"/>
        </w:rPr>
        <w:t xml:space="preserve">збільшити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кошторисні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частині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видатків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придбання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обладнання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предметів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довгострокового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користування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15500,00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38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 КПКВК 0113104 КЕКВ 2210-15500,00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КЕКВ 3110 +15500,00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.).</w:t>
      </w:r>
      <w:r/>
    </w:p>
    <w:p>
      <w:pPr>
        <w:pStyle w:val="389"/>
        <w:numPr>
          <w:ilvl w:val="0"/>
          <w:numId w:val="8"/>
        </w:numPr>
        <w:ind w:left="0" w:firstLine="709"/>
        <w:jc w:val="both"/>
        <w:spacing w:after="0" w:afterAutospacing="0" w:before="0" w:beforeAutospacing="0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Контроль за </w:t>
      </w:r>
      <w:r>
        <w:rPr>
          <w:color w:val="000000"/>
          <w:sz w:val="28"/>
          <w:szCs w:val="28"/>
        </w:rPr>
        <w:t xml:space="preserve">виконанням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покласти</w:t>
      </w:r>
      <w:r>
        <w:rPr>
          <w:color w:val="000000"/>
          <w:sz w:val="28"/>
          <w:szCs w:val="28"/>
        </w:rPr>
        <w:t xml:space="preserve"> на начальника </w:t>
      </w:r>
      <w:r>
        <w:rPr>
          <w:color w:val="000000"/>
          <w:sz w:val="28"/>
          <w:szCs w:val="28"/>
        </w:rPr>
        <w:t xml:space="preserve">фінансового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управління</w:t>
      </w:r>
      <w:r>
        <w:rPr>
          <w:color w:val="000000"/>
          <w:sz w:val="28"/>
          <w:szCs w:val="28"/>
        </w:rPr>
        <w:t xml:space="preserve"> В.В.Костенко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389"/>
        <w:ind w:firstLine="567"/>
        <w:jc w:val="both"/>
        <w:spacing w:after="0" w:afterAutospacing="0" w:before="0" w:beforeAutospacing="0"/>
        <w:tabs>
          <w:tab w:val="left" w:pos="7088" w:leader="none"/>
        </w:tabs>
        <w:rPr>
          <w:lang w:val="uk-UA"/>
        </w:rPr>
      </w:pPr>
      <w:r>
        <w:t xml:space="preserve"> </w:t>
      </w:r>
      <w:r/>
    </w:p>
    <w:p>
      <w:pPr>
        <w:pStyle w:val="389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89"/>
        <w:spacing w:after="0" w:afterAutospacing="0" w:before="0" w:beforeAutospacing="0"/>
        <w:tabs>
          <w:tab w:val="left" w:pos="6856" w:leader="none"/>
        </w:tabs>
      </w:pPr>
      <w:r>
        <w:rPr>
          <w:b/>
          <w:bCs/>
          <w:color w:val="000000"/>
          <w:sz w:val="28"/>
          <w:szCs w:val="28"/>
        </w:rPr>
        <w:t xml:space="preserve">Міський</w:t>
      </w:r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</w:rPr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  <w:tabs>
          <w:tab w:val="left" w:pos="786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506" w:hanging="360"/>
        <w:tabs>
          <w:tab w:val="left" w:pos="1506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226" w:hanging="360"/>
        <w:tabs>
          <w:tab w:val="left" w:pos="222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  <w:tabs>
          <w:tab w:val="left" w:pos="2946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66" w:hanging="360"/>
        <w:tabs>
          <w:tab w:val="left" w:pos="3666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86" w:hanging="360"/>
        <w:tabs>
          <w:tab w:val="left" w:pos="438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  <w:tabs>
          <w:tab w:val="left" w:pos="5106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826" w:hanging="360"/>
        <w:tabs>
          <w:tab w:val="left" w:pos="5826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546" w:hanging="360"/>
        <w:tabs>
          <w:tab w:val="left" w:pos="6546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4"/>
    <w:next w:val="38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4"/>
    <w:next w:val="38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4"/>
    <w:next w:val="38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4"/>
    <w:next w:val="38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4"/>
    <w:next w:val="38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4"/>
    <w:next w:val="38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4"/>
    <w:next w:val="38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4"/>
    <w:next w:val="38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4"/>
    <w:next w:val="38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8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4"/>
    <w:next w:val="38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5"/>
    <w:link w:val="32"/>
    <w:uiPriority w:val="10"/>
    <w:rPr>
      <w:sz w:val="48"/>
      <w:szCs w:val="48"/>
    </w:rPr>
  </w:style>
  <w:style w:type="paragraph" w:styleId="34">
    <w:name w:val="Subtitle"/>
    <w:basedOn w:val="384"/>
    <w:next w:val="38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5"/>
    <w:link w:val="34"/>
    <w:uiPriority w:val="11"/>
    <w:rPr>
      <w:sz w:val="24"/>
      <w:szCs w:val="24"/>
    </w:rPr>
  </w:style>
  <w:style w:type="paragraph" w:styleId="36">
    <w:name w:val="Quote"/>
    <w:basedOn w:val="384"/>
    <w:next w:val="38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4"/>
    <w:next w:val="38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5"/>
    <w:link w:val="40"/>
    <w:uiPriority w:val="99"/>
  </w:style>
  <w:style w:type="paragraph" w:styleId="42">
    <w:name w:val="Footer"/>
    <w:basedOn w:val="38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5"/>
    <w:link w:val="42"/>
    <w:uiPriority w:val="99"/>
  </w:style>
  <w:style w:type="table" w:styleId="44">
    <w:name w:val="Table Grid"/>
    <w:basedOn w:val="38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5"/>
    <w:uiPriority w:val="99"/>
    <w:unhideWhenUsed/>
    <w:rPr>
      <w:vertAlign w:val="superscript"/>
    </w:rPr>
  </w:style>
  <w:style w:type="paragraph" w:styleId="174">
    <w:name w:val="toc 1"/>
    <w:basedOn w:val="384"/>
    <w:next w:val="38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4"/>
    <w:next w:val="38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4"/>
    <w:next w:val="38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4"/>
    <w:next w:val="38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4"/>
    <w:next w:val="38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4"/>
    <w:next w:val="38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4"/>
    <w:next w:val="38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4"/>
    <w:next w:val="38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4"/>
    <w:next w:val="38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4" w:default="1">
    <w:name w:val="Normal"/>
    <w:qFormat/>
  </w:style>
  <w:style w:type="character" w:styleId="385" w:default="1">
    <w:name w:val="Default Paragraph Font"/>
    <w:uiPriority w:val="1"/>
    <w:semiHidden/>
    <w:unhideWhenUsed/>
  </w:style>
  <w:style w:type="table" w:styleId="38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7" w:default="1">
    <w:name w:val="No List"/>
    <w:uiPriority w:val="99"/>
    <w:semiHidden/>
    <w:unhideWhenUsed/>
  </w:style>
  <w:style w:type="paragraph" w:styleId="388" w:customStyle="1">
    <w:name w:val="docdata"/>
    <w:basedOn w:val="384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389">
    <w:name w:val="Normal (Web)"/>
    <w:basedOn w:val="384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390">
    <w:name w:val="Balloon Text"/>
    <w:basedOn w:val="384"/>
    <w:link w:val="39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91" w:customStyle="1">
    <w:name w:val="Текст выноски Знак"/>
    <w:basedOn w:val="385"/>
    <w:link w:val="39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4</cp:revision>
  <dcterms:created xsi:type="dcterms:W3CDTF">2020-05-08T10:28:00Z</dcterms:created>
  <dcterms:modified xsi:type="dcterms:W3CDTF">2020-05-12T05:09:08Z</dcterms:modified>
</cp:coreProperties>
</file>