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 w:right="0" w:firstLine="0"/>
        <w:spacing w:after="0" w:before="0"/>
        <w:shd w:val="clear" w:color="auto" w:fill="FFFFFF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1 </w:t>
      </w:r>
      <w:r/>
    </w:p>
    <w:p>
      <w:pPr>
        <w:ind w:left="5953" w:right="0" w:firstLine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розпорядження № 119</w:t>
      </w:r>
      <w:r/>
    </w:p>
    <w:p>
      <w:pPr>
        <w:ind w:left="5953" w:right="0" w:firstLine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22 квітня 2020 року</w:t>
      </w:r>
      <w:r/>
    </w:p>
    <w:p>
      <w:pPr>
        <w:ind w:left="0" w:right="0" w:firstLine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shd w:val="clear" w:color="auto" w:fill="FFFFFF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  <w:br/>
        <w:t xml:space="preserve">про уповноважену особу в Менській міській раді</w:t>
      </w:r>
      <w:r/>
    </w:p>
    <w:p>
      <w:pPr>
        <w:ind w:left="0" w:right="0" w:firstLine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firstLine="0"/>
        <w:jc w:val="center"/>
        <w:spacing w:after="0" w:before="0"/>
        <w:shd w:val="clear" w:color="auto" w:fill="FFFFFF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</w:t>
        <w:tab/>
        <w:t xml:space="preserve">Загал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ьні положення</w:t>
      </w:r>
      <w:r/>
    </w:p>
    <w:p>
      <w:pPr>
        <w:ind w:left="0" w:right="0" w:firstLine="45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Це Положення розроблено відповідно до статті 11 Закону України «Про публічні закупівлі», зі змінами та доповненнями, (далі - Закон) і визначає правовий статус, загальні організаційні та процедурні засади діяльності уповноваженої особи (осіб), а також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їх права, обов'язки та відповідальність.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Уповноважена особа – працівник Менської міської ради (далі – замовник), визначений відповідальним за організацію та проведення процедур закупівлі/спрощених закупівель згідно з цим Законом на підставі розпорядження голови Менської міської ради.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Метою діяльності уповноваженої особи є організація та проведення процедур закупівлі/спрощених закупівель в інтересах Менської міської ради на засадах об'єктивності та неупередженості. 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Уповноважена особа у своїй діяльності керуються Законом, іншими нормативно-правовими актами з питань публічних закупівель та цим Положенням.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</w:t>
        <w:tab/>
        <w:t xml:space="preserve">Засади діяльності та вимоги до уповноваженої особи</w:t>
      </w:r>
      <w:r/>
    </w:p>
    <w:p>
      <w:pPr>
        <w:ind w:left="0" w:right="0" w:firstLine="426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Уповноважена особа повинна мати вищу освіту (як правило юридичну або економічну). У залежності від обсягів та предмета закупівлі уповноважена особа повинна володіти знаннями і навичками:</w:t>
      </w:r>
      <w:r/>
    </w:p>
    <w:p>
      <w:pPr>
        <w:numPr>
          <w:ilvl w:val="0"/>
          <w:numId w:val="4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  <w:r/>
    </w:p>
    <w:p>
      <w:pPr>
        <w:numPr>
          <w:ilvl w:val="0"/>
          <w:numId w:val="4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чинних стандартах та технічних умовах товарів, робіт і послуг, які закуповуються замовником;</w:t>
      </w:r>
      <w:r/>
    </w:p>
    <w:p>
      <w:pPr>
        <w:numPr>
          <w:ilvl w:val="0"/>
          <w:numId w:val="4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видах, істотних умовах та особливостях укладення догорів про закупівлю товарів, робіт і послуг тощо.</w:t>
      </w:r>
      <w:r/>
    </w:p>
    <w:p>
      <w:pPr>
        <w:ind w:left="0" w:right="0" w:firstLine="42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У разі визначення кількох уповноважених осіб розмежування їх повноважень та обов’язків визначається розпорядженням міського голови.</w:t>
      </w:r>
      <w:r/>
    </w:p>
    <w:p>
      <w:pPr>
        <w:ind w:left="0" w:right="0" w:firstLine="42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Не може бути визначена уповноваженою особа, залучена замовником (у разі такого залучення) за договором про надання послуг для проведення процедур закупівель/спрощених закупівель.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ди.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ронної системи закупівель, не оприлюднюються.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 Замовник в особі міського голови має право призначити декілька уповноважених осіб, за умови що кожна з таких осіб буде відповідальною за організацію та проведення конкретних закупівель/спрощених закупівель.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 У разі визначення лише однієї уповноваженої особи замовник, в особі міського голови, має право визначити іншу особу, яка буде виконувати обов’язки уповноваженої особи в разі її відсутності (під час перебування на лікарняному, у відрядженні або відпуст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 тощо).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2.8. Визначення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одо вибору переможця процедури закупівлі/спрощеної закупівлі.</w:t>
      </w:r>
      <w:r/>
    </w:p>
    <w:p>
      <w:pPr>
        <w:ind w:left="0" w:right="0" w:firstLine="44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2.9.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або можуть вплинути на результати ці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єї процедури закупівлі/спрощеної закупівлі, що може вплинути на об’єктивність чи неупередженість прийняття нею рішень або на вчинення чи невчинення дій під час проведення процедури закупівлі/спрощеної закупівлі, та/або наявність суперечності між приватним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інтересом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та її службовими чи представницькими повноваженнями, що впливає на об’єктивність або неупередже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ність прийняття рішень або на вчинення чи невчинення дій під час проведення процедури закупівлі/спрощеної закупівлі.</w:t>
      </w:r>
      <w:r/>
    </w:p>
    <w:p>
      <w:pPr>
        <w:ind w:left="0" w:right="0" w:firstLine="426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2.10. Уповноважені особи можуть пройти навчання з питань організації та здійснення публічних закупівель, у тому числі дистанційно в Інтернеті.</w:t>
      </w:r>
      <w:r/>
    </w:p>
    <w:p>
      <w:pPr>
        <w:ind w:left="0" w:right="0" w:firstLine="426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2.11. Уповноважена особа для здійснення своїх функцій, визначених цим Законом, підтверджує свій рівень володіння необхідними (базовими) знаннями у сфері публічних закупівель на веб-порталі Уповноваженого органу шляхом проходження безкоштовного тестування.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організації тестування уповноважених осіб визначається Уповноваженим органом.</w:t>
      </w:r>
      <w:r/>
    </w:p>
    <w:p>
      <w:pPr>
        <w:ind w:left="0" w:right="0" w:firstLine="426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2.12. Уповноважена особа під час організації та проведення процедури закупівлі/спрощеної закупівлі повинна забезпечити об’єктивність та неупередженість процесу організації та проведення процедур закупівель/спрощених закупівель в інтересах замовника.</w:t>
      </w:r>
      <w:r/>
    </w:p>
    <w:p>
      <w:pPr>
        <w:ind w:left="0" w:right="0" w:firstLine="426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2.13. Уповноважена особа під час виконання своїх функцій керується наступними принципами:</w:t>
      </w:r>
      <w:r/>
    </w:p>
    <w:p>
      <w:pPr>
        <w:numPr>
          <w:ilvl w:val="0"/>
          <w:numId w:val="5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добросовісна конкуренція серед учасників;</w:t>
      </w:r>
      <w:r/>
    </w:p>
    <w:p>
      <w:pPr>
        <w:numPr>
          <w:ilvl w:val="0"/>
          <w:numId w:val="5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максимальна економія та ефективність;</w:t>
      </w:r>
      <w:r/>
    </w:p>
    <w:p>
      <w:pPr>
        <w:numPr>
          <w:ilvl w:val="0"/>
          <w:numId w:val="5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відкритість та прозорість на всіх стадіях закупівлі;</w:t>
      </w:r>
      <w:r/>
    </w:p>
    <w:p>
      <w:pPr>
        <w:numPr>
          <w:ilvl w:val="0"/>
          <w:numId w:val="5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недискримінація учасників;</w:t>
      </w:r>
      <w:r/>
    </w:p>
    <w:p>
      <w:pPr>
        <w:numPr>
          <w:ilvl w:val="0"/>
          <w:numId w:val="5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об’єктивна та неупереджена оцінка пропозицій;</w:t>
      </w:r>
      <w:r/>
    </w:p>
    <w:p>
      <w:pPr>
        <w:numPr>
          <w:ilvl w:val="0"/>
          <w:numId w:val="5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запобігання корупційним діям і зловживанням. </w:t>
      </w:r>
      <w:r/>
    </w:p>
    <w:p>
      <w:pPr>
        <w:ind w:left="0" w:right="0" w:firstLine="42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2.14. Уповноважена особа:</w:t>
      </w:r>
      <w:r/>
    </w:p>
    <w:p>
      <w:pPr>
        <w:numPr>
          <w:ilvl w:val="0"/>
          <w:numId w:val="6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планує закупівлі та формує річний план закупівель в електронній системі закупівель;</w:t>
      </w:r>
      <w:r/>
    </w:p>
    <w:p>
      <w:pPr>
        <w:numPr>
          <w:ilvl w:val="0"/>
          <w:numId w:val="6"/>
        </w:numPr>
        <w:jc w:val="both"/>
        <w:spacing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вибір процедури закупівлі;</w:t>
      </w:r>
      <w:r/>
    </w:p>
    <w:p>
      <w:pPr>
        <w:numPr>
          <w:ilvl w:val="0"/>
          <w:numId w:val="6"/>
        </w:numPr>
        <w:jc w:val="both"/>
        <w:spacing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проводить процедури закупівель/спрощені закупівлі;</w:t>
      </w:r>
      <w:r/>
    </w:p>
    <w:p>
      <w:pPr>
        <w:numPr>
          <w:ilvl w:val="0"/>
          <w:numId w:val="6"/>
        </w:numPr>
        <w:jc w:val="both"/>
        <w:spacing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рівні умови для всіх учасників, об’єктивний та чесний вибір переможця процедури закупівлі/спрощеної закупівлі;</w:t>
      </w:r>
      <w:r/>
    </w:p>
    <w:p>
      <w:pPr>
        <w:numPr>
          <w:ilvl w:val="0"/>
          <w:numId w:val="6"/>
        </w:numPr>
        <w:jc w:val="both"/>
        <w:spacing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складання, затвердження та зберігання відповідних документів з питань публічних закупівель, визначених Законом України «Про публічні закупівлі»;</w:t>
      </w:r>
      <w:r/>
    </w:p>
    <w:p>
      <w:pPr>
        <w:numPr>
          <w:ilvl w:val="0"/>
          <w:numId w:val="6"/>
        </w:numPr>
        <w:jc w:val="both"/>
        <w:spacing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забезпечує оприлюднення в електронній системі закупівель інформації, необхідної для виконання вимог Закону України «Про публічні закупівлі»;</w:t>
      </w:r>
      <w:r/>
    </w:p>
    <w:p>
      <w:pPr>
        <w:numPr>
          <w:ilvl w:val="0"/>
          <w:numId w:val="6"/>
        </w:numPr>
        <w:jc w:val="both"/>
        <w:spacing w:after="0" w:before="0"/>
        <w:shd w:val="clear" w:color="auto" w:fill="FFFFFF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інші дії, передбачені Законом України «Про публічні закупівлі».</w:t>
      </w:r>
      <w:r/>
    </w:p>
    <w:p>
      <w:pPr>
        <w:ind w:left="0" w:right="0" w:firstLine="426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уповноваженої особи оформлюються протоколом із зазначенням дати його прийняття, який підписується уповноваженою особою.</w:t>
      </w:r>
      <w:r/>
    </w:p>
    <w:p>
      <w:pPr>
        <w:ind w:left="0" w:right="0" w:firstLine="42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2.15. Уповноважена особа має право:</w:t>
      </w:r>
      <w:r/>
    </w:p>
    <w:p>
      <w:pPr>
        <w:numPr>
          <w:ilvl w:val="0"/>
          <w:numId w:val="7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приймати рішення (з оформленням відповідного протоколу уповноваженої особи), в тому числі рішення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повноваженого органу;</w:t>
      </w:r>
      <w:r/>
    </w:p>
    <w:p>
      <w:pPr>
        <w:numPr>
          <w:ilvl w:val="0"/>
          <w:numId w:val="7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публічних закупівель;</w:t>
      </w:r>
      <w:r/>
    </w:p>
    <w:p>
      <w:pPr>
        <w:numPr>
          <w:ilvl w:val="0"/>
          <w:numId w:val="7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брати участь у проведенні нарад, зборів з питань, пов’язаних з функціональними обов’язками уповноваженої особи;</w:t>
      </w:r>
      <w:r/>
    </w:p>
    <w:p>
      <w:pPr>
        <w:numPr>
          <w:ilvl w:val="0"/>
          <w:numId w:val="7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здійснювати інші дії, передбачені Законом України «Про публічні закупівлі».</w:t>
      </w:r>
      <w:r/>
    </w:p>
    <w:p>
      <w:pPr>
        <w:ind w:left="0" w:right="0" w:firstLine="42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2.16. Уповноважена особа зобов’язана:</w:t>
      </w:r>
      <w:r/>
    </w:p>
    <w:p>
      <w:pPr>
        <w:numPr>
          <w:ilvl w:val="0"/>
          <w:numId w:val="8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дотримуватися норм чинного законодавства у сфері публічних закупівель та цього Положення.</w:t>
      </w:r>
      <w:r/>
    </w:p>
    <w:p>
      <w:pPr>
        <w:ind w:left="0" w:right="0" w:firstLine="425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2.17. Оплата праці уповноваженої особи здійснюється з відповідною доплатою згідно чинного законодавства.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</w:t>
        <w:tab/>
        <w:t xml:space="preserve">Відповідальність</w:t>
      </w:r>
      <w:r/>
    </w:p>
    <w:p>
      <w:pPr>
        <w:ind w:left="0" w:right="0" w:firstLine="42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Уповноважена особа несе відповідальність за:</w:t>
      </w:r>
      <w:r/>
    </w:p>
    <w:p>
      <w:pPr>
        <w:numPr>
          <w:ilvl w:val="0"/>
          <w:numId w:val="9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прийняті нею рішення і вчинені дії (бездіяльність) відповідно до законів України;</w:t>
      </w:r>
      <w:r/>
    </w:p>
    <w:p>
      <w:pPr>
        <w:numPr>
          <w:ilvl w:val="0"/>
          <w:numId w:val="9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повноту та достовірність інформації, що оприлюднюється на веб-порталі Уповноваженого органу;</w:t>
      </w:r>
      <w:r/>
    </w:p>
    <w:p>
      <w:pPr>
        <w:numPr>
          <w:ilvl w:val="0"/>
          <w:numId w:val="9"/>
        </w:numPr>
        <w:jc w:val="both"/>
        <w:spacing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порушення вимог, визначених Законом у сфері публічних закупівель.</w:t>
      </w:r>
      <w:r/>
    </w:p>
    <w:p>
      <w:r/>
      <w:r/>
    </w:p>
    <w:sectPr>
      <w:footnotePr/>
      <w:type w:val="nextPage"/>
      <w:pgSz w:w="11906" w:h="16838" w:orient="portrait"/>
      <w:pgMar w:top="851" w:right="851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81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4"/>
    <w:next w:val="574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basedOn w:val="575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4"/>
    <w:next w:val="574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basedOn w:val="575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4"/>
    <w:next w:val="574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basedOn w:val="575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4"/>
    <w:next w:val="574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basedOn w:val="575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4"/>
    <w:next w:val="574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basedOn w:val="575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4"/>
    <w:next w:val="574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basedOn w:val="575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4"/>
    <w:next w:val="574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basedOn w:val="575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4"/>
    <w:next w:val="574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basedOn w:val="575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4"/>
    <w:next w:val="574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basedOn w:val="575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No Spacing"/>
    <w:qFormat/>
    <w:uiPriority w:val="1"/>
    <w:pPr>
      <w:spacing w:lineRule="auto" w:line="240" w:after="0" w:before="0"/>
    </w:pPr>
  </w:style>
  <w:style w:type="paragraph" w:styleId="423">
    <w:name w:val="Title"/>
    <w:basedOn w:val="574"/>
    <w:next w:val="574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>
    <w:name w:val="Title Char"/>
    <w:basedOn w:val="575"/>
    <w:link w:val="423"/>
    <w:uiPriority w:val="10"/>
    <w:rPr>
      <w:sz w:val="48"/>
      <w:szCs w:val="48"/>
    </w:rPr>
  </w:style>
  <w:style w:type="paragraph" w:styleId="425">
    <w:name w:val="Subtitle"/>
    <w:basedOn w:val="574"/>
    <w:next w:val="574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>
    <w:name w:val="Subtitle Char"/>
    <w:basedOn w:val="575"/>
    <w:link w:val="425"/>
    <w:uiPriority w:val="11"/>
    <w:rPr>
      <w:sz w:val="24"/>
      <w:szCs w:val="24"/>
    </w:rPr>
  </w:style>
  <w:style w:type="paragraph" w:styleId="427">
    <w:name w:val="Quote"/>
    <w:basedOn w:val="574"/>
    <w:next w:val="574"/>
    <w:link w:val="428"/>
    <w:qFormat/>
    <w:uiPriority w:val="29"/>
    <w:rPr>
      <w:i/>
    </w:rPr>
    <w:pPr>
      <w:ind w:left="720" w:right="720"/>
    </w:pPr>
  </w:style>
  <w:style w:type="character" w:styleId="428">
    <w:name w:val="Quote Char"/>
    <w:link w:val="427"/>
    <w:uiPriority w:val="29"/>
    <w:rPr>
      <w:i/>
    </w:rPr>
  </w:style>
  <w:style w:type="paragraph" w:styleId="429">
    <w:name w:val="Intense Quote"/>
    <w:basedOn w:val="574"/>
    <w:next w:val="574"/>
    <w:link w:val="4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>
    <w:name w:val="Intense Quote Char"/>
    <w:link w:val="429"/>
    <w:uiPriority w:val="30"/>
    <w:rPr>
      <w:i/>
    </w:rPr>
  </w:style>
  <w:style w:type="paragraph" w:styleId="431">
    <w:name w:val="Header"/>
    <w:basedOn w:val="574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Header Char"/>
    <w:basedOn w:val="575"/>
    <w:link w:val="431"/>
    <w:uiPriority w:val="99"/>
  </w:style>
  <w:style w:type="paragraph" w:styleId="433">
    <w:name w:val="Footer"/>
    <w:basedOn w:val="574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Footer Char"/>
    <w:basedOn w:val="575"/>
    <w:link w:val="433"/>
    <w:uiPriority w:val="99"/>
  </w:style>
  <w:style w:type="table" w:styleId="435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5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6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7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8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9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0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paragraph" w:styleId="578">
    <w:name w:val="List Paragraph"/>
    <w:basedOn w:val="574"/>
    <w:qFormat/>
    <w:uiPriority w:val="34"/>
    <w:pPr>
      <w:contextualSpacing w:val="true"/>
      <w:ind w:left="720"/>
    </w:pPr>
  </w:style>
  <w:style w:type="paragraph" w:styleId="579" w:customStyle="1">
    <w:name w:val="rvps2"/>
    <w:basedOn w:val="5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0">
    <w:name w:val="Hyperlink"/>
    <w:basedOn w:val="575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ВИШНЯК Тетяна Сергіївна</cp:lastModifiedBy>
  <cp:revision>5</cp:revision>
  <dcterms:created xsi:type="dcterms:W3CDTF">2020-04-22T06:41:00Z</dcterms:created>
  <dcterms:modified xsi:type="dcterms:W3CDTF">2020-04-27T17:51:47Z</dcterms:modified>
</cp:coreProperties>
</file>