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(</w:t>
      </w:r>
      <w:r>
        <w:rPr>
          <w:b/>
          <w:sz w:val="28"/>
          <w:szCs w:val="28"/>
          <w:lang w:val="ru-RU"/>
        </w:rPr>
        <w:t xml:space="preserve">тридцять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вось</w:t>
      </w:r>
      <w:r>
        <w:rPr>
          <w:b/>
          <w:sz w:val="28"/>
          <w:szCs w:val="28"/>
          <w:lang w:val="ru-RU"/>
        </w:rPr>
        <w:t xml:space="preserve">ма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сесія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сьомого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скликання</w:t>
      </w:r>
      <w:r>
        <w:rPr>
          <w:b/>
          <w:sz w:val="28"/>
          <w:szCs w:val="28"/>
          <w:lang w:val="ru-RU"/>
        </w:rPr>
        <w:t xml:space="preserve">)</w:t>
      </w:r>
      <w:r/>
    </w:p>
    <w:p>
      <w:pPr>
        <w:ind w:left="15" w:hanging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Е К Т   Р І Ш Е Н 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 Я</w:t>
      </w:r>
      <w:r/>
    </w:p>
    <w:p>
      <w:pPr>
        <w:ind w:left="15" w:hanging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45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/>
    </w:p>
    <w:p>
      <w:pPr>
        <w:ind w:firstLine="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порядок</w:t>
      </w:r>
      <w:r>
        <w:rPr>
          <w:b/>
          <w:sz w:val="28"/>
          <w:szCs w:val="28"/>
        </w:rPr>
        <w:t xml:space="preserve"> списання </w:t>
      </w:r>
      <w:r>
        <w:rPr>
          <w:b/>
          <w:sz w:val="28"/>
          <w:szCs w:val="28"/>
        </w:rPr>
        <w:t xml:space="preserve"> об’єктів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 комунальної власності</w:t>
      </w:r>
      <w:r>
        <w:rPr>
          <w:b/>
          <w:sz w:val="28"/>
          <w:szCs w:val="28"/>
        </w:rPr>
        <w:t xml:space="preserve"> </w:t>
      </w:r>
      <w:bookmarkStart w:id="1" w:name="_GoBack"/>
      <w:r/>
      <w:bookmarkEnd w:id="1"/>
      <w:r>
        <w:rPr>
          <w:b/>
          <w:sz w:val="28"/>
          <w:szCs w:val="28"/>
        </w:rPr>
        <w:t xml:space="preserve">Менської об’єднаної територіальної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громади.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 метою</w:t>
      </w:r>
      <w:r>
        <w:rPr>
          <w:sz w:val="28"/>
          <w:szCs w:val="28"/>
        </w:rPr>
        <w:t xml:space="preserve"> встановлення єдиних вимог до порядку списання комунального майна Менської об’єднаної територіальної громади, відповідно до Цивільного  кодексу України, </w:t>
      </w:r>
      <w:r>
        <w:rPr>
          <w:sz w:val="28"/>
          <w:szCs w:val="28"/>
        </w:rPr>
        <w:t xml:space="preserve">та враховуючи ПКМУ № 1314 від 08.11.2007 року</w:t>
      </w:r>
      <w:r>
        <w:rPr>
          <w:sz w:val="28"/>
          <w:szCs w:val="28"/>
        </w:rPr>
        <w:t xml:space="preserve"> «Про затвердження порядку списання об’єктів державної власності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наказів МФУ від 12.10.2010 року №1202 «Про затвердження н</w:t>
      </w:r>
      <w:r>
        <w:rPr>
          <w:sz w:val="28"/>
          <w:szCs w:val="28"/>
        </w:rPr>
        <w:t xml:space="preserve">аціональн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(стандарт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) бухгалтерського обліку в державному секторі</w:t>
      </w:r>
      <w:bookmarkStart w:id="2" w:name="_Hlk32327918"/>
      <w:r>
        <w:rPr>
          <w:sz w:val="28"/>
          <w:szCs w:val="28"/>
        </w:rPr>
        <w:t xml:space="preserve">,</w:t>
      </w:r>
      <w:bookmarkEnd w:id="2"/>
      <w:r>
        <w:rPr>
          <w:sz w:val="28"/>
          <w:szCs w:val="28"/>
        </w:rPr>
        <w:t xml:space="preserve"> від 02.09.2014 року №879 «Про затвердження Положення про інвентаризацію активів та зобов’язань, від 23.01.2015 року №11 «Про затвердження Методичних рекомендацій форм з обліку та списання основних засобів суб’єктами державного сектору та порядку їх склад</w:t>
      </w:r>
      <w:r>
        <w:rPr>
          <w:sz w:val="28"/>
          <w:szCs w:val="28"/>
        </w:rPr>
        <w:t xml:space="preserve">ання»,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Законом України «Про місцеве самоврядування в Україні» ст.ст.26,60 </w:t>
      </w:r>
      <w:r>
        <w:rPr>
          <w:sz w:val="28"/>
          <w:szCs w:val="28"/>
        </w:rPr>
        <w:t xml:space="preserve"> міська рада </w:t>
      </w:r>
      <w:r/>
    </w:p>
    <w:p>
      <w:pPr>
        <w:jc w:val="both"/>
      </w:pPr>
      <w:r>
        <w:rPr>
          <w:b/>
          <w:bCs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 </w:t>
      </w:r>
      <w:r/>
    </w:p>
    <w:p>
      <w:pPr>
        <w:jc w:val="both"/>
      </w:pP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списання об’єктів права комунальної власності Менської об’єднаної територіальної громади</w:t>
      </w:r>
      <w:r>
        <w:rPr>
          <w:sz w:val="28"/>
          <w:szCs w:val="28"/>
        </w:rPr>
        <w:t xml:space="preserve"> згідно додатку до даного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додається)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Відділу організаційної роботи та інформаційного забезпечення Менської міської ради довести це рішення до відома керівників головних розпорядників, розпорядників 3 рівня та одержувачів коштів Менської об’єднаної територіальної громади.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Керівникам всіх структурних підрозділів Менської об’єднаної територіальної громади забезпечити дотримання вимог цього рішення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заступника начальника з питань діяльності виконкому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Вишняк Т.С.</w:t>
      </w:r>
      <w:r/>
    </w:p>
    <w:p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Міський </w:t>
      </w:r>
      <w:r>
        <w:rPr>
          <w:b/>
          <w:bCs/>
          <w:sz w:val="28"/>
          <w:szCs w:val="28"/>
        </w:rPr>
        <w:t xml:space="preserve"> голова                                           </w:t>
      </w:r>
      <w:r>
        <w:rPr>
          <w:b/>
          <w:bCs/>
          <w:sz w:val="28"/>
          <w:szCs w:val="28"/>
        </w:rPr>
        <w:t xml:space="preserve">Г.А.Примаков</w:t>
      </w:r>
      <w:r/>
    </w:p>
    <w:p>
      <w:pPr>
        <w:shd w:val="nil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Додаток до рішення 38 сесії  7 скликання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 25.02.2020 №___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  порядок списання  об’єктів права комунальної власності Менської об’єднаної територіальної громади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»</w:t>
      </w:r>
      <w:r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Положення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«Про порядок списання, безоплатної передачі майна, яке належить до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комунальної  власності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територіальної громади» 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І. Загальна частина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Порядок списання, безоплатної передачі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 (надалі –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) розроблено з метою ефективного використання майна, здійснення належного контролю за списанням основних засобів, встановлення єдиних вимог до порядку списання майна, що є комунальною власністю територіальної громади міста.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Це Положення розроблено відповідно до законів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 Україні», «Про бухгалтерський облік та фінансову звітність в Україні», постанови Кабінету Міністрів України  від 08.11.2007року № 1314 «Про затвердження Порядку сп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исання об'єктів державної власності», національного положення (стандарт) бухгалтерського обліку в держаному секторі 121 «Основні засоби» (затверджено наказом Міністерства фінансів України від 12.10.10р. № 1202), методичних рекомендацій з бухгалтерського обл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іку основних засобів суб’єктів державного сектору (затверджено наказом Міністерства фінансів України від 13.01.15р. № 11, із змінами та доповненнями (наказ Міністерства фінансів  від 25.09.15р. № 840).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1.1. Положення визначає єдині вимоги до порядку списання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, а саме: матеріальні активи, що відповідно до законодавства України визнаються основними засобами  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надалі – майно)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1.2. Списання майна здійснюється способом ліквідації, безоплатної передачі з балансу виконавчих органів міської ради, підприємств, установ, організацій, закладів.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1.3. Суб'єктами господарювання є комунальні підприємства, бюджетні установи, організації, заклади, що засновані на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 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надалі - суб'єкти господарювання, бюджетні установи)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1.4. Терміни, які використовуються у цьому Положенні, вживаються у значенні, наведеному у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1.5. Положення поширюється на майно, яке належить до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 закріплено за суб'єктами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господарювання, бюджетними установами або виконавчими органами міської ради на праві господарського відання або на праві оперативного управління.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1.6. Дія цього Положення не поширюється на майно, порядок списання якого визначається окремими законами України та нормативно-правовими актами.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ІІ. Порядок списання майна, яке належить до комунальної власності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територіальної громади , способом ліквідації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 Списанню з балансів суб'єктів господарювання, бюджетних установ або виконавчих органів міської ради підлягає майно, що відповідає наведеним нижче критеріям за умови, що знос, нарахований у розмірі 100 відсотків вартості основних засобів, не може бути 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ідставою для їх списання: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2.1.1. Фізично зношене, морально застаріле, непридатне для подальшого використання.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2.1.2.Виявлене у результаті інвентаризації як недостача (здійснюється списання після відшкодування його вартості, крім випадків, коли здійснити таке відшкодування неможливо). Відшкодування сум збитків здійснюється відповідно до Закону України «Про 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изначення розміру збитків, завданих підприємству,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цінностей» та постанови Кабінету Міністрів від 22.01.96р. № 116 «Про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затвердження Порядку визначення розміру збитків від розкрадання, нестачі, знищення (псування) матеріальних цінностей» із змінами та доповненнями.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2.1.3. Втратило критерій визнання активу, тобто отримання економічних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вигод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 його використання у майбутньому не очікується (морально застаріле, фізично зношене).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2.1.4. Пошкоджене внаслідок аварій чи стихійного лиха (за умови, що відновлення його є неможливим та/або економічно недоцільним).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 Списання майна здійснює суб'єкт господарювання, бюджетна установа або виконавчий орган міської ради, на балансі якого воно перебуває, після отримання на це відповідного дозволу, який надається: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2.2.1. На списання об'єктів нерухомого майна, транспортних засобів, непридатних для подальшого використання і повністю не амортизованих основних засобів – рішен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ям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 та погодженого заступником міського голови, якому підпорядковується відповідний суб’єкт господарювання.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2.2.2. На списання повністю амортизованих основних засобів, первісна (переоцінена) вартість яких становить 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більш як 5000 грн.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за одиницю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– рішенням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 та погодженого заступником міського голови, якому підпорядковується відповідний суб’єкт господарювання.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2.2.3. На списання повністю амортизованих основних засобів первісна (переоцінена) вартість яких становить д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о 5000 грн.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за одиницю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– за наказом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або розпорядженням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керівника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суб’єкта господарювання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,бюджетної установи і виконавчих органів відповідно до цього Положення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списання майна, затвердженого керівником суб’єкта господарювання, бюджетної установи або виконавчого органу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2.2.4. Суб'єкти господарювання, бюджетні установи та виконавчі органи міської ради при списанні майна, яке не належить до основних засобів, а саме: інших необоротних матеріальних активів, малоцінних необоротних матеріальних активів, нематеріальних 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ктивів та всіх груп запасів, повинні керуватися нормами діючого законодавства України і проводити їх списання без надання дозволу рішенням сесії міської ради на підставі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списання майна, затвердженого керівником суб’єкта господарювання, бюджетної установи або виконавчого органу міської ради. При цьому керівник контролює процес списання і несе відповідальність за достовірність та правильність документів на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 З метою отримання дозволу на списання майна суб'єкти господарювання, бюджетні установи та виконавчі органи міської ради за актом прийняття-передачі подають протягом року, по мірі необхідності,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юридичного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необхідні документи, передбачені законодавством та цим Положенням для їх попереднього розгляду та встановлення відповідності до всіх нормативних документів, які регламентують порядок надання дозволу на списання майна, що перебуває в комунальній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 , а саме: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Обґрунтування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необхідності та доцільності списання майна, а також наявність обтяжень чи обмежень стосовно розпорядження майном.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2.3.2. Акт інвентаризації майна, що пропонується до списання, згідно з додатком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Порядку.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2.3.3. Акт технічного стану майна, затверджений керівником суб'єкта господарювання або керівником виконавчого органу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2.3.4. Копії документів на майно за наявності (у разі відсутності надається пояснення).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2.3.5. При списанні транспортного засобу, крім зазначених вище документів, подає: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2.3.6. Копію технічного паспорта.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2.3.7. Акт технічного стану автотранспортного засобу.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2.3.8.Висновок балансоутримувача з визначення придатності для подальшої експлуатації транспортного засобу або його частин.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2.4. Керівник суб'єкта господарювання або виконавчого органу міської ради несе відповідальність за зміст наданих документів та достовірність наведених у них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2.5.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Юридичний відділ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актом прийняття-передачі передає до секретаріату міської ради повний пакет документів, що стосуються майна, яке пропонується до списання.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2.6 Секретаріат міської ради надає для розгляду пакет документів  постійній комісії міської ради з питань бюджету, економіки та комунальної власності для отримання висновку щодо доцільності (або недоцільності) надання міською радою дозволу на списання комун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ального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2.7. Після отримання висновку постійної комісії міської ради з питань бюджету, економіки та комунальної власності, секретаріат міської ради за актом прийняття-передачі передає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юридичному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ської міської ради повний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пакет розглянутих комісією документів, що стосуються комунального майна, яке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2.8. Суб'єкти господарювання, бюджетні установи та виконавчі органи міської ради після отримання по акту прийняття-передачі від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юридичного відділу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 повного пакету документів та висновку постійної комісії міської ради з питань бюджету, економіки та комунальної власності щодо доцільності (або недоцільності) надання міською радою дозволу на списання майна готують звернення стосовно надання 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зволу на списання майна та разом повний пакет документів (з висновком постійної комісії міської ради) до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2.9. Рішення про надання чи відмову у наданні згоди на списання майна приймається відповідно чинного законодавства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2.10. Рішення про надання згоди на списання майна оформляється у формі рішення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 Рішення про відмову у наданні згоди на списання майна приймається у разі, коли: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2.11.1. Документи не відповідають вимогам, визначеним у пункті 2.3 і 2.11 цього Положення, або надано не повний перелік документів.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2.11.2. Визначено інші способи використання майна,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2.11.3. Заявник подав передбачені цим Положенням документи з порушенням установлених вимог, а також коли у документах наявні суперечності;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2.11.4. Відповідно до законодавства заборонено розпорядження майном.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2.12. Для встановлення факту непридатності майна, що є комунальною власністю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і встановлення неможливості або неефективності проведення його відновного ремонту чи неможливості його використання іншим чином, а також для оформлення документів на його списання, розпорядчим актом керівника суб’єкта господарювання, бюджетної установи,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рганізації або виконавчого органу міської ради утворюється  комісія у складі: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Керівника або його заступника (голова комісії);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Головного бухгалтера або його заступника (в установі де штатним розписом посада головного бухгалтера не передбачена – особи, на яку покладено ведення бухгалтерського обліку);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Працівників відповідного профілю, які добре знають об'єкти, що підлягають списанню.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2.13. Повноваження з визначення непридатності майна можуть бути надані   щорічній інвентаризаційній комісії.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2.14. Розпорядчий акт утворення постійно діючої інвентаризаційної комісії поновлюється щорічно або за потреби.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2.15. Для участі у роботі комісії зі встановлення непридатності майна, що перебуває під наглядом державних інспекцій, запрошується фахівець відповідної інспекції, відповідно до чинного законодавства України, який підписує акт про списання або передає комісі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свій письмовий висновок, який додається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 є його невід'ємною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 Комісія суб'єкта господарювання, бюджетної установи або виконавчого органу міської ради: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2.16.1. Проводить у встановленому законодавством України порядку інвентаризацію майна, що пропонується до списання, та за її результатами складає відповідний акт.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2.16.2. Проводить обстеження майна, що підлягає списанню, використовуючи при цьому необхідну технічну документацію (технічні паспорти, відомості дефектів та інші документи), а також дані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2.16.3. Визначає економічну (технічну) доцільність чи недоцільність відновлення та/або подальшого використання майна і вносить відповідні пропозиції про його продаж, безоплатну передачу чи ліквідацію.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2.16.4. Встановлює конкретні причини списання майна: фізична зношеність, моральна застарілість, непридатність для подальшого використання, або пошкодження внаслідок аварії чи стихійного лиха та неможливість відновлення, або виявлення його в результаті інвен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таризації як нестачі.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2.16.5. Встановлює осіб, з вини яких трапився передчасний вихід майна з ладу (якщо такі є).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2.16.6. Визначає можливість використання окремих вузлів, деталей, матеріалів та агрегатів об'єкта, що підлягає списанню і проводить їх оцінку.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2.16.7. Здійснює контроль за вилученням зі списаного майна придатних вузлів, деталей, матеріалів та агрегатів, а також вузлів, деталей, матеріалів та агрегатів, що містять дорогоцінні метали і дорогоцінне каміння, визначає їх кількість, вагу та контролює зд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ачу на склад і оприбуткування на відповідних балансових рахунках.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2.16.8. Складає відповідно до законодавства України акти на списання майна за встановленою типовою формою.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2.16.9. Комісія несе відповідальність за правдивість і достовірність встановлених у ході роботи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 За результатами роботи складається протокол засідання комісії, до якого додаються: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2.17.1. Акт інвентаризації майна комунальної власності,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2.17.2. Акти технічного стану майна, що пропонується до списання.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2.17.3. Акти на списання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2.17.4. Інші документи (копія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аварію, висновки відповідних інспекцій, державних органів тощо (за наявності).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2.18. У протоколі засідання комісії зазначаються пропозиції щодо способів використання майна, списання якого за висновками комісії є недоцільними, заходи з відшкодування вартості майна, у результаті інвентаризації якого виявлена нестача, чи розукомплектован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ого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2.19. Протокол засідання комісії підписують всі члени комісії, які несуть відповідальність за зміст та достовірність наведених у протоколі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2.20. У разі незгоди з рішенням комісії її члени мають право викласти у письмовій формі свою окрему думку, що додається до протоколу засідання і є його невід'ємною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2.21. В акті на списання майна детально зазначаються причини його списання та робиться висновок про економічну (технічну) недоцільність та/або неможливість відновлення майна.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2.22. У разі списання майна, пошкодженого внаслідок аварії чи стихійного лиха, 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на його списання додається належним чином завірена копія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аварію, у якій зазначаються причини, що призвели до неї.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2.23. Протокол засідання комісії, акт інвентаризації, акти на списання майна та технічного стану затверджує керівник суб'єкта господарювання, бюджетної установи або керівник відповідного виконавчого органу міської ради, який несе персональну відповідальніст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 за зміст та достовірність наведених у документах даних.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2.24. Розбирання та демонтаж майна, що пропонується до списання, проводиться тільки після отримання відповідного дозволу на списання, оформленого згідно з цим Положенням (крім випадків пошкодження майна внаслідок аварії чи стихійного лиха).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2.25. 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згідно з цим Положенням забезпечує безпосередньо суб'єкт господарювання, бюджетна установа або виконав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чий орган міської ради, на балансі якого перебуває майно.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2.26. Всі вузли, деталі, матеріали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у результаті списання майна, оприбутковуються з відображенням на рахун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ках бухгалтерського обліку.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2.27. Непридатні для використання вузли, деталі, матеріали та агрегати, оприбутковуються як вторинна сировина (металобрухт тощо).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2.28. Оцінка придатних вузлів, деталей, матеріалів та агрегатів, отриманих у результаті списання майна, проводиться відповідно до законодавства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2.29. Вилучені після демонтажу та розбирання майна вузли, деталі, матеріали та агрегати, що містять дорогоцінні метали і дорогоцінне каміння, підлягають здачі суб'єктам господарювання, які провадять діяльність із збирання та первинної обробки брухту і відхо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дів дорогоцінних металів і дорогоцінного каміння на підставі ліцензій, одержаних відповідно до вимог Закону України «Про ліцензування певних видів господарської діяльності».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2.30. Забороняється знищувати, здавати у брухт з кольорових і чорних металів техніку, апаратуру, прилади та інші вироби, що містять дорогоцінні метали і дорогоцінне каміння, без попереднього їх вилучення та одночасного оприбуткування придатних для подальшог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 використання деталей.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2.31. Кошти, що надійшли у результаті списання майна залишаються у розпорядженні суб'єктів господарювання, бюджетних установ та виконавчих органів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2.32. Суб'єкти господарювання, на балансі яких перебувало майно, подають у місячний термін після закінчення процедури розбирання, демонтажу та оприбуткування до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юридичного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міської ради звіт про списання майна комунальної власності згідно з додатком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2.33. У разі наявності зауважень до звіту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юридичний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відділ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ської міської ради повертає його суб'єктові господарювання для врахування зауважень та подання протягом 10 робочих днів звіту для нового розгляду.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2.34. Керівник суб'єкта господарювання, бюджетної установи або керівник відповідного виконавчого органу міської ради контролює дотримання норм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цього Положення та несе персональну відповідальність за зміст та достовірність наданих документів.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ІІІ. Порядок списання майна, яке належить до комунальної власності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територіальної громади, способом безоплатної передачі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3.1. Безоплатна передача майна, яке належить до комунальної власності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територіальної громади з балансу на баланс суб'єктів господарювання, бюджетних установ або виконавчих органів міської ради, які відносяться до сфери управління місцевих органів виконавчої влади здійснюється за погодженням сторін з дозволу виконавчого коміте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ту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3.2. Безоплатна передача майна, яке належить до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 тому числі морально застаріла комп’ютерна те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ніка, придатна для подальшого використання передається з комунальної власності до інших форм власності згідно з вимогами діючого законодавства України з дозволу міської ради, в разі відсутності запитів на таке майно від суб’єктів господарювання, бюджетних 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станов або виконавчих органів міської ради, які відносяться до сфери управління місцевих органів виконавчої влади.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ІV. Прикінцеві положення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4.1. Керівник суб'єкта господарювання, бюджетної установи або керівник виконавчого органу міської ради контролює, організовує, забезпечує та відповідає за дотримання процедури списання майна відповідно до цього Положення.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4.2. Керівник суб'єкта господарювання, бюджетної установи та керівник виконавчих органів міської ради несуть відповідальність за зміст та достовірність документів, що надаються згідно з цим Положенням.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4.3. Керівник суб'єкта господарювання, бюджетної установи або керівник виконавчого органу міської ради відповідає згідно з чинним законодавством України за цільове використання коштів, отриманих від реалізації основних засобів (рухомого майна).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4.4. Спірні питання, що виникають у процесі списання майна відповідно до цього Положення, вирішуються у відповідності з вимогами чинн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ого законодавства України.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1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 порядку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списання  об’єктів права комунальної власності Менської об’єднаної територіальної громади.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ЗАТВЕРДЖУЮ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(посада керівника суб’єкта господарювання,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бюджетної установи або виконавчого органу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міської ради)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(підпис),               (ініціали та прізвище)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 20____ р.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М. П.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АКТ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інвентаризації майна, що пропонується до списання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(найменування суб’єкта господарювання та його місцезнаходження)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На підставі наказу від ___________ 20 ___ р. № 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Комісією у складі 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(посада, прізвище та ініціали членів комісії)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Проведено інвентаризацію майна комунальної власності,  що пропонується до списання станом на ______   ________ 20 __ 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Інвентаризацію розпочато ___ _________ 20 __ р.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Інвентаризацію закінчено ___ _________ 20 __ р.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Під час проведення інвентаризації встановлено: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tbl>
      <w:tblPr>
        <w:tblW w:w="10260" w:type="dxa"/>
        <w:jc w:val="center"/>
        <w:tblCellSpacing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80"/>
        <w:gridCol w:w="1378"/>
        <w:gridCol w:w="1020"/>
        <w:gridCol w:w="930"/>
        <w:gridCol w:w="1005"/>
        <w:gridCol w:w="1455"/>
        <w:gridCol w:w="911"/>
        <w:gridCol w:w="1455"/>
        <w:gridCol w:w="1020"/>
      </w:tblGrid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Наймену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вання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випуску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(рік</w:t>
            </w:r>
            <w:r>
              <w:rPr>
                <w:rFonts w:ascii="Times New Roman" w:hAnsi="Times New Roman" w:cs="Times New Roman" w:eastAsia="Times New Roman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введення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в експлуатацію)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0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Номер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5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Станом на _____________ 200__ р.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  <w:trHeight w:val="23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Інвентар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ний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Заводсь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кий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40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Фактично виявлено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6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За даними бухгалтерського обліку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bottom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первісна (переоцінена) вартість, грн..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Кількість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  <w:t xml:space="preserve">первісна (переоцінена) вартість, грн.</w:t>
            </w:r>
            <w:r>
              <w:rPr>
                <w:rFonts w:ascii="Times New Roman" w:hAnsi="Times New Roman" w:cs="Times New Roman" w:eastAsia="Times New Roman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  <w:tr>
        <w:trPr>
          <w:jc w:val="center"/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4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0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21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0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7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5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5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990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/>
          </w:p>
        </w:tc>
      </w:tr>
    </w:tbl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                     ______________                   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(підпис)                                         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                       ______________                 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3540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                                        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br w:type="page"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Додаток 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2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орядку списання  об’єктів права комунальної власності Менської об’єднаної територіальної громади.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ЗАТВЕРДЖУЮ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(посада керівника суб’єкта господарювання,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бюджетної установи або виконавчого органу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міської ради)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________________________________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(підпис),               (ініціали та прізвище)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____________________ 20____ р.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r>
      <w:r/>
    </w:p>
    <w:p>
      <w:pPr>
        <w:ind w:left="4820"/>
        <w:spacing w:lineRule="auto" w:line="240" w:after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  <w:t xml:space="preserve">М. П. </w:t>
      </w:r>
      <w:r>
        <w:rPr>
          <w:rFonts w:ascii="Times New Roman" w:hAnsi="Times New Roman" w:cs="Times New Roman" w:eastAsia="Times New Roman"/>
          <w:bCs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ЗВІТ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списання основних засобів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          ______________      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(підпис)                   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en-US" w:eastAsia="uk-UA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  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           ______________          ____________________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(підпис)                   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en-US" w:eastAsia="uk-UA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  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Усього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Голова комісії:        ______________          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(підпис)                   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ru-RU" w:eastAsia="uk-UA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  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комісії:          ______________             ___________________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2124"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 (підпис)                   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val="en-US" w:eastAsia="uk-UA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  <w:t xml:space="preserve">   (ініціали та прізвище)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uk-UA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Droid Sans">
    <w:panose1 w:val="020B0502000000000001"/>
  </w:font>
  <w:font w:name="OpenSymbol">
    <w:panose1 w:val="05010000000000000000"/>
  </w:font>
  <w:font w:name="Lohit Hindi">
    <w:panose1 w:val="020608030506050202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250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cs="OpenSymbol"/>
      </w:rPr>
    </w:lvl>
    <w:lvl w:ilvl="1">
      <w:start w:val="1"/>
      <w:numFmt w:val="bullet"/>
      <w:suff w:val="tab"/>
      <w:lvlText w:val="◦"/>
      <w:lvlJc w:val="left"/>
      <w:pPr>
        <w:ind w:left="1080" w:hanging="358"/>
        <w:tabs>
          <w:tab w:val="left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suff w:val="tab"/>
      <w:lvlText w:val="▪"/>
      <w:lvlJc w:val="left"/>
      <w:pPr>
        <w:ind w:left="1440" w:hanging="358"/>
        <w:tabs>
          <w:tab w:val="left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suff w:val="tab"/>
      <w:lvlText w:val=""/>
      <w:lvlJc w:val="left"/>
      <w:pPr>
        <w:ind w:left="1800" w:hanging="358"/>
        <w:tabs>
          <w:tab w:val="left" w:pos="1800" w:leader="none"/>
        </w:tabs>
      </w:pPr>
      <w:rPr>
        <w:rFonts w:ascii="Symbol" w:hAnsi="Symbol" w:cs="OpenSymbol"/>
      </w:rPr>
    </w:lvl>
    <w:lvl w:ilvl="4">
      <w:start w:val="1"/>
      <w:numFmt w:val="bullet"/>
      <w:suff w:val="tab"/>
      <w:lvlText w:val="◦"/>
      <w:lvlJc w:val="left"/>
      <w:pPr>
        <w:ind w:left="2160" w:hanging="358"/>
        <w:tabs>
          <w:tab w:val="left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suff w:val="tab"/>
      <w:lvlText w:val="▪"/>
      <w:lvlJc w:val="left"/>
      <w:pPr>
        <w:ind w:left="2520" w:hanging="358"/>
        <w:tabs>
          <w:tab w:val="left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suff w:val="tab"/>
      <w:lvlText w:val=""/>
      <w:lvlJc w:val="left"/>
      <w:pPr>
        <w:ind w:left="2880" w:hanging="358"/>
        <w:tabs>
          <w:tab w:val="left" w:pos="2880" w:leader="none"/>
        </w:tabs>
      </w:pPr>
      <w:rPr>
        <w:rFonts w:ascii="Symbol" w:hAnsi="Symbol" w:cs="OpenSymbol"/>
      </w:rPr>
    </w:lvl>
    <w:lvl w:ilvl="7">
      <w:start w:val="1"/>
      <w:numFmt w:val="bullet"/>
      <w:suff w:val="tab"/>
      <w:lvlText w:val="◦"/>
      <w:lvlJc w:val="left"/>
      <w:pPr>
        <w:ind w:left="3240" w:hanging="358"/>
        <w:tabs>
          <w:tab w:val="left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suff w:val="tab"/>
      <w:lvlText w:val="▪"/>
      <w:lvlJc w:val="left"/>
      <w:pPr>
        <w:ind w:left="3600" w:hanging="358"/>
        <w:tabs>
          <w:tab w:val="left" w:pos="3600" w:leader="none"/>
        </w:tabs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Heading 1 Char"/>
    <w:basedOn w:val="251"/>
    <w:link w:val="250"/>
    <w:uiPriority w:val="9"/>
    <w:rPr>
      <w:rFonts w:ascii="Arial" w:hAnsi="Arial" w:cs="Arial" w:eastAsia="Arial"/>
      <w:sz w:val="40"/>
      <w:szCs w:val="40"/>
    </w:rPr>
  </w:style>
  <w:style w:type="paragraph" w:styleId="183">
    <w:name w:val="Heading 2"/>
    <w:basedOn w:val="249"/>
    <w:next w:val="249"/>
    <w:link w:val="1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4">
    <w:name w:val="Heading 2 Char"/>
    <w:basedOn w:val="251"/>
    <w:link w:val="183"/>
    <w:uiPriority w:val="9"/>
    <w:rPr>
      <w:rFonts w:ascii="Arial" w:hAnsi="Arial" w:cs="Arial" w:eastAsia="Arial"/>
      <w:sz w:val="34"/>
    </w:rPr>
  </w:style>
  <w:style w:type="paragraph" w:styleId="185">
    <w:name w:val="Heading 3"/>
    <w:basedOn w:val="249"/>
    <w:next w:val="249"/>
    <w:link w:val="1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6">
    <w:name w:val="Heading 3 Char"/>
    <w:basedOn w:val="251"/>
    <w:link w:val="185"/>
    <w:uiPriority w:val="9"/>
    <w:rPr>
      <w:rFonts w:ascii="Arial" w:hAnsi="Arial" w:cs="Arial" w:eastAsia="Arial"/>
      <w:sz w:val="30"/>
      <w:szCs w:val="30"/>
    </w:rPr>
  </w:style>
  <w:style w:type="paragraph" w:styleId="187">
    <w:name w:val="Heading 4"/>
    <w:basedOn w:val="249"/>
    <w:next w:val="249"/>
    <w:link w:val="1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8">
    <w:name w:val="Heading 4 Char"/>
    <w:basedOn w:val="251"/>
    <w:link w:val="187"/>
    <w:uiPriority w:val="9"/>
    <w:rPr>
      <w:rFonts w:ascii="Arial" w:hAnsi="Arial" w:cs="Arial" w:eastAsia="Arial"/>
      <w:b/>
      <w:bCs/>
      <w:sz w:val="26"/>
      <w:szCs w:val="26"/>
    </w:rPr>
  </w:style>
  <w:style w:type="paragraph" w:styleId="189">
    <w:name w:val="Heading 5"/>
    <w:basedOn w:val="249"/>
    <w:next w:val="249"/>
    <w:link w:val="1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0">
    <w:name w:val="Heading 5 Char"/>
    <w:basedOn w:val="251"/>
    <w:link w:val="189"/>
    <w:uiPriority w:val="9"/>
    <w:rPr>
      <w:rFonts w:ascii="Arial" w:hAnsi="Arial" w:cs="Arial" w:eastAsia="Arial"/>
      <w:b/>
      <w:bCs/>
      <w:sz w:val="24"/>
      <w:szCs w:val="24"/>
    </w:rPr>
  </w:style>
  <w:style w:type="paragraph" w:styleId="191">
    <w:name w:val="Heading 6"/>
    <w:basedOn w:val="249"/>
    <w:next w:val="249"/>
    <w:link w:val="1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2">
    <w:name w:val="Heading 6 Char"/>
    <w:basedOn w:val="251"/>
    <w:link w:val="191"/>
    <w:uiPriority w:val="9"/>
    <w:rPr>
      <w:rFonts w:ascii="Arial" w:hAnsi="Arial" w:cs="Arial" w:eastAsia="Arial"/>
      <w:b/>
      <w:bCs/>
      <w:sz w:val="22"/>
      <w:szCs w:val="22"/>
    </w:rPr>
  </w:style>
  <w:style w:type="paragraph" w:styleId="193">
    <w:name w:val="Heading 7"/>
    <w:basedOn w:val="249"/>
    <w:next w:val="249"/>
    <w:link w:val="1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4">
    <w:name w:val="Heading 7 Char"/>
    <w:basedOn w:val="251"/>
    <w:link w:val="1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5">
    <w:name w:val="Heading 8"/>
    <w:basedOn w:val="249"/>
    <w:next w:val="249"/>
    <w:link w:val="1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6">
    <w:name w:val="Heading 8 Char"/>
    <w:basedOn w:val="251"/>
    <w:link w:val="195"/>
    <w:uiPriority w:val="9"/>
    <w:rPr>
      <w:rFonts w:ascii="Arial" w:hAnsi="Arial" w:cs="Arial" w:eastAsia="Arial"/>
      <w:i/>
      <w:iCs/>
      <w:sz w:val="22"/>
      <w:szCs w:val="22"/>
    </w:rPr>
  </w:style>
  <w:style w:type="paragraph" w:styleId="197">
    <w:name w:val="Heading 9"/>
    <w:basedOn w:val="249"/>
    <w:next w:val="249"/>
    <w:link w:val="1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8">
    <w:name w:val="Heading 9 Char"/>
    <w:basedOn w:val="251"/>
    <w:link w:val="197"/>
    <w:uiPriority w:val="9"/>
    <w:rPr>
      <w:rFonts w:ascii="Arial" w:hAnsi="Arial" w:cs="Arial" w:eastAsia="Arial"/>
      <w:i/>
      <w:iCs/>
      <w:sz w:val="21"/>
      <w:szCs w:val="21"/>
    </w:rPr>
  </w:style>
  <w:style w:type="paragraph" w:styleId="199">
    <w:name w:val="List Paragraph"/>
    <w:basedOn w:val="249"/>
    <w:qFormat/>
    <w:uiPriority w:val="34"/>
    <w:pPr>
      <w:contextualSpacing w:val="true"/>
      <w:ind w:left="720"/>
    </w:pPr>
  </w:style>
  <w:style w:type="paragraph" w:styleId="200">
    <w:name w:val="No Spacing"/>
    <w:qFormat/>
    <w:uiPriority w:val="1"/>
    <w:pPr>
      <w:spacing w:lineRule="auto" w:line="240" w:after="0" w:before="0"/>
    </w:pPr>
  </w:style>
  <w:style w:type="paragraph" w:styleId="201">
    <w:name w:val="Title"/>
    <w:basedOn w:val="249"/>
    <w:next w:val="249"/>
    <w:link w:val="2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2">
    <w:name w:val="Title Char"/>
    <w:basedOn w:val="251"/>
    <w:link w:val="201"/>
    <w:uiPriority w:val="10"/>
    <w:rPr>
      <w:sz w:val="48"/>
      <w:szCs w:val="48"/>
    </w:rPr>
  </w:style>
  <w:style w:type="paragraph" w:styleId="203">
    <w:name w:val="Subtitle"/>
    <w:basedOn w:val="249"/>
    <w:next w:val="249"/>
    <w:link w:val="204"/>
    <w:qFormat/>
    <w:uiPriority w:val="11"/>
    <w:rPr>
      <w:sz w:val="24"/>
      <w:szCs w:val="24"/>
    </w:rPr>
    <w:pPr>
      <w:spacing w:after="200" w:before="200"/>
    </w:pPr>
  </w:style>
  <w:style w:type="character" w:styleId="204">
    <w:name w:val="Subtitle Char"/>
    <w:basedOn w:val="251"/>
    <w:link w:val="203"/>
    <w:uiPriority w:val="11"/>
    <w:rPr>
      <w:sz w:val="24"/>
      <w:szCs w:val="24"/>
    </w:rPr>
  </w:style>
  <w:style w:type="paragraph" w:styleId="205">
    <w:name w:val="Quote"/>
    <w:basedOn w:val="249"/>
    <w:next w:val="249"/>
    <w:link w:val="206"/>
    <w:qFormat/>
    <w:uiPriority w:val="29"/>
    <w:rPr>
      <w:i/>
    </w:rPr>
    <w:pPr>
      <w:ind w:left="720" w:right="720"/>
    </w:pPr>
  </w:style>
  <w:style w:type="character" w:styleId="206">
    <w:name w:val="Quote Char"/>
    <w:link w:val="205"/>
    <w:uiPriority w:val="29"/>
    <w:rPr>
      <w:i/>
    </w:rPr>
  </w:style>
  <w:style w:type="paragraph" w:styleId="207">
    <w:name w:val="Intense Quote"/>
    <w:basedOn w:val="249"/>
    <w:next w:val="249"/>
    <w:link w:val="20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8">
    <w:name w:val="Intense Quote Char"/>
    <w:link w:val="207"/>
    <w:uiPriority w:val="30"/>
    <w:rPr>
      <w:i/>
    </w:rPr>
  </w:style>
  <w:style w:type="paragraph" w:styleId="209">
    <w:name w:val="Header"/>
    <w:basedOn w:val="249"/>
    <w:link w:val="2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0">
    <w:name w:val="Header Char"/>
    <w:basedOn w:val="251"/>
    <w:link w:val="209"/>
    <w:uiPriority w:val="99"/>
  </w:style>
  <w:style w:type="paragraph" w:styleId="211">
    <w:name w:val="Footer"/>
    <w:basedOn w:val="249"/>
    <w:link w:val="2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2">
    <w:name w:val="Footer Char"/>
    <w:basedOn w:val="251"/>
    <w:link w:val="211"/>
    <w:uiPriority w:val="99"/>
  </w:style>
  <w:style w:type="table" w:styleId="213">
    <w:name w:val="Table Grid"/>
    <w:basedOn w:val="2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4">
    <w:name w:val="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5">
    <w:name w:val="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6">
    <w:name w:val="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7">
    <w:name w:val="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8">
    <w:name w:val="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9">
    <w:name w:val="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0">
    <w:name w:val="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1">
    <w:name w:val="Bordered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2">
    <w:name w:val="Bordered - Accent 1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3">
    <w:name w:val="Bordered - Accent 2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4">
    <w:name w:val="Bordered - Accent 3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5">
    <w:name w:val="Bordered - Accent 4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6">
    <w:name w:val="Bordered - Accent 5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7">
    <w:name w:val="Bordered - Accent 6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8">
    <w:name w:val="Bordered &amp; 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9">
    <w:name w:val="Bordered &amp; 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0">
    <w:name w:val="Bordered &amp; 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1">
    <w:name w:val="Bordered &amp; 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2">
    <w:name w:val="Bordered &amp; 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3">
    <w:name w:val="Bordered &amp; 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4">
    <w:name w:val="Bordered &amp; 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5">
    <w:name w:val="Hyperlink"/>
    <w:uiPriority w:val="99"/>
    <w:unhideWhenUsed/>
    <w:rPr>
      <w:color w:val="0000FF" w:themeColor="hyperlink"/>
      <w:u w:val="single"/>
    </w:rPr>
  </w:style>
  <w:style w:type="paragraph" w:styleId="236">
    <w:name w:val="footnote text"/>
    <w:basedOn w:val="249"/>
    <w:link w:val="237"/>
    <w:uiPriority w:val="99"/>
    <w:semiHidden/>
    <w:unhideWhenUsed/>
    <w:rPr>
      <w:sz w:val="18"/>
    </w:rPr>
    <w:pPr>
      <w:spacing w:lineRule="auto" w:line="240" w:after="40"/>
    </w:pPr>
  </w:style>
  <w:style w:type="character" w:styleId="237">
    <w:name w:val="Footnote Text Char"/>
    <w:link w:val="236"/>
    <w:uiPriority w:val="99"/>
    <w:rPr>
      <w:sz w:val="18"/>
    </w:rPr>
  </w:style>
  <w:style w:type="character" w:styleId="238">
    <w:name w:val="footnote reference"/>
    <w:basedOn w:val="251"/>
    <w:uiPriority w:val="99"/>
    <w:unhideWhenUsed/>
    <w:rPr>
      <w:vertAlign w:val="superscript"/>
    </w:rPr>
  </w:style>
  <w:style w:type="paragraph" w:styleId="239">
    <w:name w:val="toc 1"/>
    <w:basedOn w:val="249"/>
    <w:next w:val="249"/>
    <w:uiPriority w:val="39"/>
    <w:unhideWhenUsed/>
    <w:pPr>
      <w:ind w:left="0" w:right="0" w:hanging="0"/>
      <w:spacing w:after="57"/>
    </w:pPr>
  </w:style>
  <w:style w:type="paragraph" w:styleId="240">
    <w:name w:val="toc 2"/>
    <w:basedOn w:val="249"/>
    <w:next w:val="249"/>
    <w:uiPriority w:val="39"/>
    <w:unhideWhenUsed/>
    <w:pPr>
      <w:ind w:left="283" w:right="0" w:hanging="0"/>
      <w:spacing w:after="57"/>
    </w:pPr>
  </w:style>
  <w:style w:type="paragraph" w:styleId="241">
    <w:name w:val="toc 3"/>
    <w:basedOn w:val="249"/>
    <w:next w:val="249"/>
    <w:uiPriority w:val="39"/>
    <w:unhideWhenUsed/>
    <w:pPr>
      <w:ind w:left="567" w:right="0" w:hanging="0"/>
      <w:spacing w:after="57"/>
    </w:pPr>
  </w:style>
  <w:style w:type="paragraph" w:styleId="242">
    <w:name w:val="toc 4"/>
    <w:basedOn w:val="249"/>
    <w:next w:val="249"/>
    <w:uiPriority w:val="39"/>
    <w:unhideWhenUsed/>
    <w:pPr>
      <w:ind w:left="850" w:right="0" w:hanging="0"/>
      <w:spacing w:after="57"/>
    </w:pPr>
  </w:style>
  <w:style w:type="paragraph" w:styleId="243">
    <w:name w:val="toc 5"/>
    <w:basedOn w:val="249"/>
    <w:next w:val="249"/>
    <w:uiPriority w:val="39"/>
    <w:unhideWhenUsed/>
    <w:pPr>
      <w:ind w:left="1134" w:right="0" w:hanging="0"/>
      <w:spacing w:after="57"/>
    </w:pPr>
  </w:style>
  <w:style w:type="paragraph" w:styleId="244">
    <w:name w:val="toc 6"/>
    <w:basedOn w:val="249"/>
    <w:next w:val="249"/>
    <w:uiPriority w:val="39"/>
    <w:unhideWhenUsed/>
    <w:pPr>
      <w:ind w:left="1417" w:right="0" w:hanging="0"/>
      <w:spacing w:after="57"/>
    </w:pPr>
  </w:style>
  <w:style w:type="paragraph" w:styleId="245">
    <w:name w:val="toc 7"/>
    <w:basedOn w:val="249"/>
    <w:next w:val="249"/>
    <w:uiPriority w:val="39"/>
    <w:unhideWhenUsed/>
    <w:pPr>
      <w:ind w:left="1701" w:right="0" w:hanging="0"/>
      <w:spacing w:after="57"/>
    </w:pPr>
  </w:style>
  <w:style w:type="paragraph" w:styleId="246">
    <w:name w:val="toc 8"/>
    <w:basedOn w:val="249"/>
    <w:next w:val="249"/>
    <w:uiPriority w:val="39"/>
    <w:unhideWhenUsed/>
    <w:pPr>
      <w:ind w:left="1984" w:right="0" w:hanging="0"/>
      <w:spacing w:after="57"/>
    </w:pPr>
  </w:style>
  <w:style w:type="paragraph" w:styleId="247">
    <w:name w:val="toc 9"/>
    <w:basedOn w:val="249"/>
    <w:next w:val="249"/>
    <w:uiPriority w:val="39"/>
    <w:unhideWhenUsed/>
    <w:pPr>
      <w:ind w:left="2268" w:right="0" w:hanging="0"/>
      <w:spacing w:after="57"/>
    </w:pPr>
  </w:style>
  <w:style w:type="paragraph" w:styleId="248">
    <w:name w:val="TOC Heading"/>
    <w:uiPriority w:val="39"/>
    <w:unhideWhenUsed/>
  </w:style>
  <w:style w:type="paragraph" w:styleId="249" w:default="1">
    <w:name w:val="Normal"/>
    <w:qFormat/>
    <w:rPr>
      <w:lang w:eastAsia="ar-SA"/>
    </w:rPr>
  </w:style>
  <w:style w:type="paragraph" w:styleId="250">
    <w:name w:val="Heading 1"/>
    <w:basedOn w:val="249"/>
    <w:next w:val="249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251" w:default="1">
    <w:name w:val="Default Paragraph Font"/>
    <w:uiPriority w:val="1"/>
    <w:semiHidden/>
    <w:unhideWhenUsed/>
  </w:style>
  <w:style w:type="table" w:styleId="2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3" w:default="1">
    <w:name w:val="No List"/>
    <w:uiPriority w:val="99"/>
    <w:semiHidden/>
    <w:unhideWhenUsed/>
  </w:style>
  <w:style w:type="character" w:styleId="254" w:customStyle="1">
    <w:name w:val="WW8Num2z0"/>
    <w:rPr>
      <w:rFonts w:ascii="Symbol" w:hAnsi="Symbol" w:cs="OpenSymbol"/>
    </w:rPr>
  </w:style>
  <w:style w:type="character" w:styleId="255" w:customStyle="1">
    <w:name w:val="WW8Num2z1"/>
    <w:rPr>
      <w:rFonts w:ascii="OpenSymbol" w:hAnsi="OpenSymbol" w:cs="OpenSymbol"/>
    </w:rPr>
  </w:style>
  <w:style w:type="character" w:styleId="256" w:customStyle="1">
    <w:name w:val="Основной шрифт абзаца2"/>
  </w:style>
  <w:style w:type="character" w:styleId="257" w:customStyle="1">
    <w:name w:val="Absatz-Standardschriftart"/>
  </w:style>
  <w:style w:type="character" w:styleId="258" w:customStyle="1">
    <w:name w:val="WW-Absatz-Standardschriftart"/>
  </w:style>
  <w:style w:type="character" w:styleId="259" w:customStyle="1">
    <w:name w:val="WW8Num3z0"/>
    <w:rPr>
      <w:rFonts w:ascii="Symbol" w:hAnsi="Symbol" w:cs="OpenSymbol"/>
    </w:rPr>
  </w:style>
  <w:style w:type="character" w:styleId="260" w:customStyle="1">
    <w:name w:val="WW8Num3z1"/>
    <w:rPr>
      <w:rFonts w:ascii="OpenSymbol" w:hAnsi="OpenSymbol" w:cs="OpenSymbol"/>
    </w:rPr>
  </w:style>
  <w:style w:type="character" w:styleId="261" w:customStyle="1">
    <w:name w:val="WW-Absatz-Standardschriftart1"/>
  </w:style>
  <w:style w:type="character" w:styleId="262" w:customStyle="1">
    <w:name w:val="WW-Absatz-Standardschriftart11"/>
  </w:style>
  <w:style w:type="character" w:styleId="263" w:customStyle="1">
    <w:name w:val="WW-Absatz-Standardschriftart111"/>
  </w:style>
  <w:style w:type="character" w:styleId="264" w:customStyle="1">
    <w:name w:val="WW-Absatz-Standardschriftart1111"/>
  </w:style>
  <w:style w:type="character" w:styleId="265" w:customStyle="1">
    <w:name w:val="WW-Absatz-Standardschriftart11111"/>
  </w:style>
  <w:style w:type="character" w:styleId="266" w:customStyle="1">
    <w:name w:val="WW-Absatz-Standardschriftart111111"/>
  </w:style>
  <w:style w:type="character" w:styleId="267" w:customStyle="1">
    <w:name w:val="WW-Absatz-Standardschriftart1111111"/>
  </w:style>
  <w:style w:type="character" w:styleId="268" w:customStyle="1">
    <w:name w:val="WW-Absatz-Standardschriftart11111111"/>
  </w:style>
  <w:style w:type="character" w:styleId="269" w:customStyle="1">
    <w:name w:val="WW-Absatz-Standardschriftart111111111"/>
  </w:style>
  <w:style w:type="character" w:styleId="270" w:customStyle="1">
    <w:name w:val="Основной шрифт абзаца1"/>
  </w:style>
  <w:style w:type="character" w:styleId="271" w:customStyle="1">
    <w:name w:val="Знак Знак"/>
    <w:rPr>
      <w:b/>
      <w:sz w:val="32"/>
      <w:lang w:val="uk-UA" w:bidi="ar-SA" w:eastAsia="ar-SA"/>
    </w:rPr>
  </w:style>
  <w:style w:type="character" w:styleId="272" w:customStyle="1">
    <w:name w:val="Маркери списку"/>
    <w:rPr>
      <w:rFonts w:ascii="OpenSymbol" w:hAnsi="OpenSymbol" w:cs="OpenSymbol" w:eastAsia="OpenSymbol"/>
    </w:rPr>
  </w:style>
  <w:style w:type="paragraph" w:styleId="273" w:customStyle="1">
    <w:name w:val="Заголовок"/>
    <w:basedOn w:val="249"/>
    <w:next w:val="274"/>
    <w:rPr>
      <w:rFonts w:ascii="Arial" w:hAnsi="Arial" w:cs="Lohit Hindi" w:eastAsia="Droid Sans"/>
      <w:sz w:val="28"/>
      <w:szCs w:val="28"/>
    </w:rPr>
    <w:pPr>
      <w:keepNext/>
      <w:spacing w:after="120" w:before="240"/>
    </w:pPr>
  </w:style>
  <w:style w:type="paragraph" w:styleId="274">
    <w:name w:val="Body Text"/>
    <w:basedOn w:val="249"/>
    <w:pPr>
      <w:spacing w:after="120"/>
    </w:pPr>
  </w:style>
  <w:style w:type="paragraph" w:styleId="275">
    <w:name w:val="List"/>
    <w:basedOn w:val="274"/>
    <w:rPr>
      <w:rFonts w:cs="Lohit Hindi"/>
    </w:rPr>
  </w:style>
  <w:style w:type="paragraph" w:styleId="276" w:customStyle="1">
    <w:name w:val="Название2"/>
    <w:basedOn w:val="249"/>
    <w:rPr>
      <w:rFonts w:cs="Mangal"/>
      <w:i/>
      <w:iCs/>
      <w:sz w:val="24"/>
      <w:szCs w:val="24"/>
    </w:rPr>
    <w:pPr>
      <w:spacing w:after="120" w:before="120"/>
    </w:pPr>
  </w:style>
  <w:style w:type="paragraph" w:styleId="277" w:customStyle="1">
    <w:name w:val="Указатель2"/>
    <w:basedOn w:val="249"/>
    <w:rPr>
      <w:rFonts w:cs="Mangal"/>
    </w:rPr>
  </w:style>
  <w:style w:type="paragraph" w:styleId="278" w:customStyle="1">
    <w:name w:val="Название1"/>
    <w:basedOn w:val="249"/>
    <w:rPr>
      <w:rFonts w:cs="Mangal"/>
      <w:i/>
      <w:iCs/>
      <w:sz w:val="24"/>
      <w:szCs w:val="24"/>
    </w:rPr>
    <w:pPr>
      <w:spacing w:after="120" w:before="120"/>
    </w:pPr>
  </w:style>
  <w:style w:type="paragraph" w:styleId="279" w:customStyle="1">
    <w:name w:val="Указатель1"/>
    <w:basedOn w:val="249"/>
    <w:rPr>
      <w:rFonts w:cs="Mangal"/>
    </w:rPr>
  </w:style>
  <w:style w:type="paragraph" w:styleId="280" w:customStyle="1">
    <w:name w:val="Розділ"/>
    <w:basedOn w:val="249"/>
    <w:rPr>
      <w:rFonts w:cs="Lohit Hindi"/>
      <w:i/>
      <w:iCs/>
      <w:sz w:val="24"/>
      <w:szCs w:val="24"/>
    </w:rPr>
    <w:pPr>
      <w:spacing w:after="120" w:before="120"/>
    </w:pPr>
  </w:style>
  <w:style w:type="paragraph" w:styleId="281" w:customStyle="1">
    <w:name w:val="Покажчик"/>
    <w:basedOn w:val="249"/>
    <w:rPr>
      <w:rFonts w:cs="Lohit Hind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