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3"/>
                <wp:effectExtent l="19048" t="0" r="9523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МЕНСЬКА МІСЬКА РАДА</w:t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Менського району Чернігівської області</w:t>
      </w:r>
      <w:r/>
    </w:p>
    <w:p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(тридцять шоста сесія сьомого скликання)</w:t>
      </w:r>
      <w:r/>
    </w:p>
    <w:p>
      <w:pPr>
        <w:ind w:left="15" w:hanging="13"/>
        <w:jc w:val="center"/>
        <w:rPr>
          <w:rFonts w:ascii="Times New Roman" w:hAnsi="Times New Roman"/>
          <w:b/>
          <w:bCs/>
          <w:spacing w:val="6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60"/>
          <w:sz w:val="28"/>
          <w:szCs w:val="28"/>
          <w:lang w:eastAsia="ru-RU"/>
        </w:rPr>
        <w:t xml:space="preserve">РІШЕННЯ</w:t>
      </w:r>
      <w:r/>
    </w:p>
    <w:p>
      <w:pPr>
        <w:tabs>
          <w:tab w:val="left" w:pos="4536" w:leader="none"/>
          <w:tab w:val="left" w:pos="7230" w:leader="none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/>
          <w:sz w:val="28"/>
          <w:szCs w:val="28"/>
          <w:lang w:eastAsia="ru-RU"/>
        </w:rPr>
        <w:t xml:space="preserve">6</w:t>
      </w:r>
      <w:r>
        <w:rPr>
          <w:rFonts w:ascii="Times New Roman" w:hAnsi="Times New Roman"/>
          <w:sz w:val="28"/>
          <w:szCs w:val="28"/>
          <w:lang w:eastAsia="ru-RU"/>
        </w:rPr>
        <w:t xml:space="preserve"> грудня 2019 року</w:t>
      </w:r>
      <w:r>
        <w:rPr>
          <w:rFonts w:ascii="Times New Roman" w:hAnsi="Times New Roman"/>
          <w:sz w:val="28"/>
          <w:szCs w:val="28"/>
          <w:lang w:eastAsia="ru-RU"/>
        </w:rPr>
        <w:tab/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 xml:space="preserve">688</w:t>
      </w:r>
      <w:r/>
    </w:p>
    <w:p>
      <w:pPr>
        <w:jc w:val="center"/>
        <w:rPr>
          <w:rFonts w:ascii="Times New Roman" w:hAnsi="Times New Roman" w:eastAsia="Batang"/>
          <w:sz w:val="20"/>
          <w:szCs w:val="20"/>
          <w:lang w:eastAsia="ru-RU"/>
        </w:rPr>
      </w:pPr>
      <w:r>
        <w:rPr>
          <w:rFonts w:ascii="Times New Roman" w:hAnsi="Times New Roman" w:eastAsia="Batang"/>
          <w:sz w:val="20"/>
          <w:szCs w:val="20"/>
          <w:lang w:eastAsia="ru-RU"/>
        </w:rPr>
      </w:r>
      <w:r/>
    </w:p>
    <w:p>
      <w:pPr>
        <w:ind w:right="5387"/>
        <w:jc w:val="both"/>
        <w:keepNext/>
        <w:tabs>
          <w:tab w:val="left" w:pos="3828" w:leader="none"/>
          <w:tab w:val="left" w:pos="3969" w:leader="none"/>
          <w:tab w:val="left" w:pos="4111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Про затвердження програми «Молодь Менської громади» на 2020-2022 роки та </w:t>
      </w:r>
      <w:r>
        <w:rPr>
          <w:rFonts w:ascii="Times New Roman" w:hAnsi="Times New Roman"/>
          <w:b/>
          <w:sz w:val="28"/>
          <w:szCs w:val="28"/>
        </w:rPr>
        <w:t xml:space="preserve">Положення про проведення Конкурсу молодіжних та дитячих ініціатив</w:t>
      </w:r>
      <w:r/>
    </w:p>
    <w:p>
      <w:pPr>
        <w:ind w:right="4675"/>
        <w:jc w:val="both"/>
        <w:tabs>
          <w:tab w:val="left" w:pos="4680" w:leader="none"/>
        </w:tabs>
        <w:rPr>
          <w:rFonts w:ascii="Times New Roman" w:hAnsi="Times New Roman" w:eastAsia="Batang"/>
          <w:sz w:val="28"/>
          <w:szCs w:val="28"/>
          <w:lang w:val="ru-RU" w:eastAsia="ru-RU"/>
        </w:rPr>
      </w:pPr>
      <w:r>
        <w:rPr>
          <w:rFonts w:ascii="Times New Roman" w:hAnsi="Times New Roman" w:eastAsia="Batang"/>
          <w:sz w:val="28"/>
          <w:szCs w:val="28"/>
          <w:lang w:val="ru-RU" w:eastAsia="ru-RU"/>
        </w:rPr>
      </w:r>
      <w:r/>
    </w:p>
    <w:p>
      <w:pPr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 метою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всебічної підтримки громадської активності молоді відповідно до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Закону України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«Про сприяння соціальному становленню та розвитку молоді в Україні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керуючись пунктом 22 частини 1, статті 26 Закону України «Про місцеве самоврядування в Україні»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Менська міська  рада </w:t>
      </w:r>
      <w:r/>
    </w:p>
    <w:p>
      <w:pPr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/>
    </w:p>
    <w:p>
      <w:pPr>
        <w:jc w:val="both"/>
        <w:shd w:val="clear" w:color="auto" w:fill="FFFFFF"/>
        <w:rPr>
          <w:rFonts w:ascii="Times New Roman" w:hAnsi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ВИРІШИЛА:</w:t>
      </w:r>
      <w:r/>
    </w:p>
    <w:p>
      <w:pPr>
        <w:numPr>
          <w:ilvl w:val="0"/>
          <w:numId w:val="13"/>
        </w:numPr>
        <w:ind w:left="0" w:firstLine="567"/>
        <w:jc w:val="both"/>
        <w:shd w:val="clear" w:color="auto" w:fill="FFFFFF"/>
        <w:tabs>
          <w:tab w:val="left" w:pos="993" w:leader="none"/>
        </w:tabs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Затвердити Програму «Молодь Менської громади» на 2020-2022 роки та викласти у новій редакції, Додаток 1.</w:t>
      </w:r>
      <w:r/>
    </w:p>
    <w:p>
      <w:pPr>
        <w:numPr>
          <w:ilvl w:val="0"/>
          <w:numId w:val="13"/>
        </w:numPr>
        <w:ind w:left="0" w:firstLine="567"/>
        <w:jc w:val="both"/>
        <w:shd w:val="clear" w:color="auto" w:fill="FFFFFF"/>
        <w:tabs>
          <w:tab w:val="left" w:pos="993" w:leader="none"/>
        </w:tabs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Затвердити Положення про проведення Конкурсу молодіжних та дитячих ініціатив, Додаток 2.</w:t>
      </w:r>
      <w:r/>
    </w:p>
    <w:p>
      <w:pPr>
        <w:numPr>
          <w:ilvl w:val="0"/>
          <w:numId w:val="13"/>
        </w:numPr>
        <w:ind w:left="0" w:firstLine="567"/>
        <w:jc w:val="both"/>
        <w:shd w:val="clear" w:color="auto" w:fill="FFFFFF"/>
        <w:tabs>
          <w:tab w:val="left" w:pos="993" w:leader="none"/>
        </w:tabs>
        <w:rPr>
          <w:rFonts w:ascii="Times New Roman" w:hAnsi="Times New Roman" w:eastAsia="Times New Roman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Сектору сім’ї, молоді та спорту Менської міської ради забезпечити організоване виконання заходів Програми.</w:t>
      </w:r>
      <w:r/>
    </w:p>
    <w:p>
      <w:pPr>
        <w:pStyle w:val="285"/>
        <w:numPr>
          <w:ilvl w:val="0"/>
          <w:numId w:val="13"/>
        </w:numPr>
        <w:ind w:left="0" w:firstLine="567"/>
        <w:jc w:val="both"/>
        <w:tabs>
          <w:tab w:val="left" w:pos="0" w:leader="none"/>
          <w:tab w:val="left" w:pos="142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Вишняк Т.С., заступника міського голови з питань діяльності виконкому Менської міської ради.</w:t>
      </w:r>
      <w:r/>
    </w:p>
    <w:p>
      <w:pPr>
        <w:ind w:firstLine="426"/>
        <w:jc w:val="both"/>
        <w:tabs>
          <w:tab w:val="left" w:pos="0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tabs>
          <w:tab w:val="left" w:pos="993" w:leader="none"/>
          <w:tab w:val="left" w:pos="6804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Г.А.Примаков</w:t>
      </w:r>
      <w:r/>
    </w:p>
    <w:p>
      <w:r/>
      <w:r/>
    </w:p>
    <w:p>
      <w:pPr>
        <w:spacing w:lineRule="auto" w:line="276" w:after="200"/>
        <w:rPr>
          <w:rFonts w:ascii="Times New Roman" w:hAnsi="Times New Roman" w:eastAsia="Times New Roman"/>
          <w:bCs/>
          <w:iCs/>
          <w:szCs w:val="28"/>
          <w:lang w:eastAsia="ru-RU"/>
        </w:rPr>
      </w:pPr>
      <w:r>
        <w:rPr>
          <w:rFonts w:ascii="Times New Roman" w:hAnsi="Times New Roman" w:eastAsia="Times New Roman"/>
          <w:bCs/>
          <w:iCs/>
          <w:szCs w:val="28"/>
          <w:lang w:eastAsia="ru-RU"/>
        </w:rPr>
        <w:br w:type="page"/>
      </w:r>
      <w:r/>
    </w:p>
    <w:p>
      <w:pPr>
        <w:ind w:left="5670"/>
        <w:keepNext/>
        <w:tabs>
          <w:tab w:val="left" w:pos="9639" w:leader="none"/>
        </w:tabs>
        <w:rPr>
          <w:rFonts w:ascii="Times New Roman" w:hAnsi="Times New Roman" w:eastAsia="Times New Roman"/>
          <w:lang w:eastAsia="ru-RU"/>
        </w:rPr>
        <w:outlineLvl w:val="1"/>
      </w:pPr>
      <w:r>
        <w:rPr>
          <w:rFonts w:ascii="Times New Roman" w:hAnsi="Times New Roman" w:eastAsia="Times New Roman"/>
          <w:bCs/>
          <w:iCs/>
          <w:lang w:eastAsia="ru-RU"/>
        </w:rPr>
        <w:t xml:space="preserve">Додаток 1 до рішення 36 </w:t>
      </w:r>
      <w:r>
        <w:rPr>
          <w:rFonts w:ascii="Times New Roman" w:hAnsi="Times New Roman" w:eastAsia="Times New Roman"/>
          <w:bCs/>
          <w:iCs/>
          <w:lang w:eastAsia="ru-RU"/>
        </w:rPr>
        <w:t xml:space="preserve">сесії</w:t>
      </w:r>
      <w:r>
        <w:rPr>
          <w:rFonts w:ascii="Times New Roman" w:hAnsi="Times New Roman" w:eastAsia="Times New Roman"/>
          <w:bCs/>
          <w:iCs/>
          <w:lang w:eastAsia="ru-RU"/>
        </w:rPr>
        <w:t xml:space="preserve"> Менської міської ради 7 скликання №688 </w:t>
      </w:r>
      <w:r>
        <w:rPr>
          <w:rFonts w:ascii="Times New Roman" w:hAnsi="Times New Roman" w:eastAsia="Times New Roman"/>
          <w:bCs/>
          <w:iCs/>
          <w:lang w:eastAsia="ru-RU"/>
        </w:rPr>
        <w:t xml:space="preserve">«</w:t>
      </w:r>
      <w:r>
        <w:rPr>
          <w:rFonts w:ascii="Times New Roman" w:hAnsi="Times New Roman" w:eastAsia="Times New Roman"/>
          <w:szCs w:val="28"/>
          <w:lang w:eastAsia="ru-RU"/>
        </w:rPr>
        <w:t xml:space="preserve">Про затвердження програми «Молодь Менської громади» на 2020-2022 роки та </w:t>
      </w:r>
      <w:r>
        <w:rPr>
          <w:rFonts w:ascii="Times New Roman" w:hAnsi="Times New Roman" w:eastAsia="Times New Roman"/>
          <w:szCs w:val="28"/>
          <w:lang w:eastAsia="ru-RU"/>
        </w:rPr>
        <w:t xml:space="preserve">Положення про проведення Конкурсу молодіжних та дитячих ініціатив</w:t>
      </w:r>
      <w:r>
        <w:rPr>
          <w:rFonts w:ascii="Times New Roman" w:hAnsi="Times New Roman" w:eastAsia="Times New Roman"/>
          <w:lang w:eastAsia="ru-RU"/>
        </w:rPr>
      </w:r>
      <w:r/>
    </w:p>
    <w:p>
      <w:pPr>
        <w:ind w:left="5670"/>
        <w:keepNext/>
        <w:tabs>
          <w:tab w:val="left" w:pos="9639" w:leader="none"/>
        </w:tabs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>
        <w:rPr>
          <w:rFonts w:ascii="Times New Roman" w:hAnsi="Times New Roman" w:eastAsia="Times New Roman"/>
          <w:lang w:eastAsia="ru-RU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  <w:r/>
    </w:p>
    <w:p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ПРОГРАМА</w:t>
      </w:r>
      <w:r/>
    </w:p>
    <w:p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«Молодь Менської громади» на 2020-2022 роки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рік</w:t>
      </w:r>
      <w:r/>
    </w:p>
    <w:p>
      <w:pPr>
        <w:shd w:val="nil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ЗАГАЛЬНА ХАРАКТЕРИСТИКА</w:t>
      </w:r>
      <w:r/>
    </w:p>
    <w:tbl>
      <w:tblPr>
        <w:tblStyle w:val="29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42"/>
        <w:gridCol w:w="4780"/>
      </w:tblGrid>
      <w:tr>
        <w:trPr/>
        <w:tc>
          <w:tcPr>
            <w:tcW w:w="534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</w:t>
            </w:r>
            <w:r/>
          </w:p>
        </w:tc>
        <w:tc>
          <w:tcPr>
            <w:tcW w:w="4542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Ініціатор розроблення Програми</w:t>
            </w:r>
            <w:r/>
          </w:p>
        </w:tc>
        <w:tc>
          <w:tcPr>
            <w:tcW w:w="4780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Сектор сім’ї, молоді та спорту Менської міської ради</w:t>
            </w:r>
            <w:r/>
          </w:p>
        </w:tc>
      </w:tr>
      <w:tr>
        <w:trPr/>
        <w:tc>
          <w:tcPr>
            <w:tcW w:w="534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</w:t>
            </w:r>
            <w:r/>
          </w:p>
        </w:tc>
        <w:tc>
          <w:tcPr>
            <w:tcW w:w="4542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Розробник Програми</w:t>
            </w:r>
            <w:r/>
          </w:p>
        </w:tc>
        <w:tc>
          <w:tcPr>
            <w:tcW w:w="4780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Сектор сім’ї, молоді та спорту Менської міської ради</w:t>
            </w:r>
            <w:r/>
          </w:p>
        </w:tc>
      </w:tr>
      <w:tr>
        <w:trPr/>
        <w:tc>
          <w:tcPr>
            <w:tcW w:w="534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</w:t>
            </w:r>
            <w:r/>
          </w:p>
        </w:tc>
        <w:tc>
          <w:tcPr>
            <w:tcW w:w="4542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Виконавець Програми</w:t>
            </w:r>
            <w:r/>
          </w:p>
        </w:tc>
        <w:tc>
          <w:tcPr>
            <w:tcW w:w="4780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Менська міська рада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Сектор сім’ї, молоді та спорту Менської міської ради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Відділ освіти Менської міської ради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Відділ культури Менської міської ради</w:t>
            </w:r>
            <w:r/>
          </w:p>
        </w:tc>
      </w:tr>
      <w:tr>
        <w:trPr/>
        <w:tc>
          <w:tcPr>
            <w:tcW w:w="534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</w:t>
            </w:r>
            <w:r/>
          </w:p>
        </w:tc>
        <w:tc>
          <w:tcPr>
            <w:tcW w:w="4542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Учасники Програми</w:t>
            </w:r>
            <w:r/>
          </w:p>
        </w:tc>
        <w:tc>
          <w:tcPr>
            <w:tcW w:w="4780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Менська міська рада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Сектор сім’ї, молоді та спорту Менської міської ради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Відділ освіти Менської міської ради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Служба у справах дітей Менської міської ради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енський міський центр соціальних служб для сім’ї, дітей та молоді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дітей та молоді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Відділ культури Менської міської ради</w:t>
            </w:r>
            <w:r/>
          </w:p>
        </w:tc>
      </w:tr>
      <w:tr>
        <w:trPr/>
        <w:tc>
          <w:tcPr>
            <w:tcW w:w="534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</w:t>
            </w:r>
            <w:r/>
          </w:p>
        </w:tc>
        <w:tc>
          <w:tcPr>
            <w:tcW w:w="4542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Термін реалізації Програми</w:t>
            </w:r>
            <w:r/>
          </w:p>
        </w:tc>
        <w:tc>
          <w:tcPr>
            <w:tcW w:w="4780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2020-2022 рік</w:t>
            </w:r>
            <w:r/>
          </w:p>
        </w:tc>
      </w:tr>
      <w:tr>
        <w:trPr/>
        <w:tc>
          <w:tcPr>
            <w:tcW w:w="534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</w:t>
            </w:r>
            <w:r/>
          </w:p>
        </w:tc>
        <w:tc>
          <w:tcPr>
            <w:tcW w:w="4542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Перелік бюджетів, задіяних у виконання Програми</w:t>
            </w:r>
            <w:r/>
          </w:p>
        </w:tc>
        <w:tc>
          <w:tcPr>
            <w:tcW w:w="4780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Місцевий бюджет, інші джерела фінансування незаборонені законодавством</w:t>
            </w:r>
            <w:r/>
          </w:p>
        </w:tc>
      </w:tr>
      <w:tr>
        <w:trPr/>
        <w:tc>
          <w:tcPr>
            <w:tcW w:w="534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</w:t>
            </w:r>
            <w:r/>
          </w:p>
        </w:tc>
        <w:tc>
          <w:tcPr>
            <w:tcW w:w="4542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обсяг фінансових ресурсів, необхідних для реалізації Програми (тис. грн.)</w:t>
            </w:r>
            <w:r/>
          </w:p>
        </w:tc>
        <w:tc>
          <w:tcPr>
            <w:tcW w:w="4780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Всього: 1 425,0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роках: 2020 рік -400,0</w:t>
            </w:r>
            <w:r/>
          </w:p>
          <w:p>
            <w:pPr>
              <w:ind w:left="11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рік -475,0</w:t>
            </w:r>
            <w:r/>
          </w:p>
          <w:p>
            <w:pPr>
              <w:ind w:left="11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рік -550,0</w:t>
            </w:r>
            <w:r/>
          </w:p>
        </w:tc>
      </w:tr>
      <w:tr>
        <w:trPr/>
        <w:tc>
          <w:tcPr>
            <w:tcW w:w="534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</w:t>
            </w:r>
            <w:r/>
          </w:p>
        </w:tc>
        <w:tc>
          <w:tcPr>
            <w:tcW w:w="4542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Джерела фінансування</w:t>
            </w:r>
            <w:r/>
          </w:p>
        </w:tc>
        <w:tc>
          <w:tcPr>
            <w:tcW w:w="4780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Місцевий бюджет, інші джерела фінансування незаборонені законодавством</w:t>
            </w:r>
            <w:r/>
          </w:p>
        </w:tc>
      </w:tr>
    </w:tbl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Визначення проблеми, на розв’язання якої спрямована Програма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Молодь є важливою складовою сучасного українського суспільства, носієм інтелектуального потенціалу, визначальним фактором соціально-економічного прогресу. Від здатності молоді бути активною творчою силою значною мірою залежить процес державотворення.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Здобуття Україною незалежності, становлення громадянського суспільства створили передумови для розвитку вільної, духовно розвиненої особистості, здатної засвоїти кращі надбання світової і національної духовної спадщини, загальнолюдські цінності.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Надзвичайно важливим є питання щодо формування духовних потреб молоді, заінтересованості у пізнанні історичної спадщини народу, залучення її до культурного життя.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Соціальне становище молоді як однієї з найбільш  вразливих категорій населення, що характеризується наявністю амбіцій, завищених очікувань, пошуком власного шляху і прагненням до самореалізації, є показником успішності суспільства, можливості реалізації йог</w:t>
      </w:r>
      <w:r>
        <w:rPr>
          <w:rFonts w:ascii="Times New Roman" w:hAnsi="Times New Roman"/>
          <w:sz w:val="28"/>
          <w:szCs w:val="28"/>
        </w:rPr>
        <w:t xml:space="preserve">о потенціалу.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Молодь перебуває у складній ситуації, коли в умовах стрімкого розвитку  інформаційних технологій, збільшення кількості життєвих проблем у представників молодого покоління формується так званий комплекс незадоволеності. Отже, держава повинна забезпечити прав</w:t>
      </w:r>
      <w:r>
        <w:rPr>
          <w:rFonts w:ascii="Times New Roman" w:hAnsi="Times New Roman"/>
          <w:sz w:val="28"/>
          <w:szCs w:val="28"/>
        </w:rPr>
        <w:t xml:space="preserve">о на перше робоче місце навіть за відсутності практичного досвіду у випускників навчальних закладів. 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Молодь відіграє важливу роль у соціальних процесах розбудови демократичної держави. Проте, незважаючи на певні позитивні зміни, які   відбуваються у молодіжному середовищі, все ще існують проблеми, зокрема   погіршуються показники здоров’я молодих громадян,</w:t>
      </w:r>
      <w:r>
        <w:rPr>
          <w:rFonts w:ascii="Times New Roman" w:hAnsi="Times New Roman"/>
          <w:sz w:val="28"/>
          <w:szCs w:val="28"/>
        </w:rPr>
        <w:t xml:space="preserve"> не подолана   демографічна криза, спостерігається тенденція щодо поширення в молодіжному  середовищі наркоманії та захворюваності на ВІЛ/СНІД, збільшується кількість  померлих у молодому віці. Освітній потенціал молоді значною мірою не  реалізується через </w:t>
      </w:r>
      <w:r>
        <w:rPr>
          <w:rFonts w:ascii="Times New Roman" w:hAnsi="Times New Roman"/>
          <w:sz w:val="28"/>
          <w:szCs w:val="28"/>
        </w:rPr>
        <w:t xml:space="preserve">невідповідність між попитом та пропозицією на ринку праці. 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Мета Програми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Метою Програми є створення системи всебічної підтримки громадянської активності молоді, спрямованої на самовизначення і самореалізацію.</w:t>
      </w:r>
      <w:r/>
    </w:p>
    <w:p>
      <w:pPr>
        <w:ind w:left="450" w:right="450"/>
        <w:jc w:val="center"/>
        <w:shd w:val="clear" w:color="auto" w:fill="FFFFFF"/>
        <w:rPr>
          <w:rFonts w:ascii="Times New Roman" w:hAnsi="Times New Roman" w:eastAsia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 w:eastAsia="Times New Roman"/>
          <w:b/>
          <w:bCs/>
          <w:color w:val="000000"/>
          <w:sz w:val="28"/>
        </w:rPr>
        <w:t xml:space="preserve">Обґрунтування шляхів і засобів розв’язання проблеми обсягів </w:t>
      </w:r>
      <w:r/>
    </w:p>
    <w:p>
      <w:pPr>
        <w:ind w:left="450" w:right="450"/>
        <w:jc w:val="center"/>
        <w:shd w:val="clear" w:color="auto" w:fill="FFFFFF"/>
        <w:rPr>
          <w:rFonts w:ascii="Times New Roman" w:hAnsi="Times New Roman" w:eastAsia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та джерел фінансування,</w:t>
      </w:r>
      <w:r>
        <w:rPr>
          <w:rFonts w:ascii="Times New Roman" w:hAnsi="Times New Roman" w:eastAsia="Times New Roman"/>
          <w:b/>
          <w:bCs/>
          <w:color w:val="000000"/>
          <w:sz w:val="28"/>
        </w:rPr>
        <w:t xml:space="preserve"> строки 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виконання </w:t>
      </w:r>
      <w:r>
        <w:rPr>
          <w:rFonts w:ascii="Times New Roman" w:hAnsi="Times New Roman" w:eastAsia="Times New Roman"/>
          <w:b/>
          <w:bCs/>
          <w:color w:val="000000"/>
          <w:sz w:val="28"/>
        </w:rPr>
        <w:t xml:space="preserve">програми</w:t>
      </w:r>
      <w:r/>
    </w:p>
    <w:p>
      <w:pPr>
        <w:ind w:firstLine="700"/>
        <w:jc w:val="both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Шляхами розв’язання проблеми є:</w:t>
      </w:r>
      <w:r/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підвищення рівня громадської активності та патріотичної свідомості  молоді, створення морально-етичних засад для її всебічного розвитку; </w:t>
      </w:r>
      <w:r/>
    </w:p>
    <w:p>
      <w:pPr>
        <w:numPr>
          <w:ilvl w:val="0"/>
          <w:numId w:val="2"/>
        </w:numPr>
        <w:jc w:val="both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підвищення культурного, освітнього, морального рівня молоді та організація культурного дозвілля;</w:t>
      </w:r>
      <w:r/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залучення молоді до розроблення пропозицій щодо вдосконалення механізму реалізації державної молодіжної політики;</w:t>
      </w:r>
      <w:r/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підвищення рівня правової культури молодих громадян, зокрема з  питань поваги до прав і свобод людини,  відповідальності за власне життя;</w:t>
      </w:r>
      <w:r/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формування свідомого ставлення молоді до збереження здоров'я, боротьби із шкідливими звичками;</w:t>
      </w:r>
      <w:r/>
    </w:p>
    <w:p>
      <w:pPr>
        <w:pStyle w:val="29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чисельності молоді, що бере участь у діяльності дитячих і молодіжних громадських організацій.</w:t>
      </w:r>
      <w:bookmarkStart w:id="1" w:name="42"/>
      <w:r/>
      <w:bookmarkEnd w:id="1"/>
      <w:r/>
      <w:r/>
    </w:p>
    <w:p>
      <w:pPr>
        <w:jc w:val="both"/>
        <w:rPr>
          <w:rFonts w:ascii="Times New Roman" w:hAnsi="Times New Roman" w:eastAsia="Times New Roman"/>
          <w:sz w:val="28"/>
          <w:szCs w:val="28"/>
        </w:rPr>
      </w:pPr>
      <w:r/>
      <w:bookmarkStart w:id="2" w:name="n54"/>
      <w:r/>
      <w:bookmarkStart w:id="3" w:name="n56"/>
      <w:r/>
      <w:bookmarkStart w:id="4" w:name="n84"/>
      <w:r/>
      <w:bookmarkStart w:id="5" w:name="n86"/>
      <w:r/>
      <w:bookmarkStart w:id="6" w:name="n87"/>
      <w:r/>
      <w:bookmarkStart w:id="7" w:name="n88"/>
      <w:r/>
      <w:bookmarkStart w:id="8" w:name="n45"/>
      <w:r/>
      <w:bookmarkEnd w:id="2"/>
      <w:r/>
      <w:bookmarkEnd w:id="3"/>
      <w:r/>
      <w:bookmarkEnd w:id="4"/>
      <w:r/>
      <w:bookmarkEnd w:id="5"/>
      <w:r/>
      <w:bookmarkEnd w:id="6"/>
      <w:r/>
      <w:bookmarkEnd w:id="7"/>
      <w:r/>
      <w:bookmarkEnd w:id="8"/>
      <w:r>
        <w:rPr>
          <w:rFonts w:ascii="Times New Roman" w:hAnsi="Times New Roman" w:eastAsia="Times New Roman"/>
          <w:sz w:val="28"/>
          <w:szCs w:val="28"/>
        </w:rPr>
        <w:t xml:space="preserve">Реалізація Програми розрахована на </w:t>
      </w:r>
      <w:r>
        <w:rPr>
          <w:rFonts w:ascii="Times New Roman" w:hAnsi="Times New Roman"/>
          <w:sz w:val="28"/>
          <w:szCs w:val="28"/>
        </w:rPr>
        <w:t xml:space="preserve">2020-2022</w:t>
      </w:r>
      <w:r>
        <w:rPr>
          <w:rFonts w:ascii="Times New Roman" w:hAnsi="Times New Roman" w:eastAsia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/>
          <w:sz w:val="28"/>
          <w:szCs w:val="28"/>
        </w:rPr>
        <w:t xml:space="preserve">ки.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Основні завдання Програми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Основними завданнями Програми є:</w:t>
      </w:r>
      <w:r/>
    </w:p>
    <w:p>
      <w:pPr>
        <w:pStyle w:val="285"/>
        <w:numPr>
          <w:ilvl w:val="0"/>
          <w:numId w:val="5"/>
        </w:numPr>
        <w:ind w:left="0" w:firstLine="426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сприяння співпраці молоді з органами місцевого самоврядування, підтримка молодіжних ініціатив;</w:t>
      </w:r>
      <w:r/>
    </w:p>
    <w:p>
      <w:pPr>
        <w:pStyle w:val="285"/>
        <w:numPr>
          <w:ilvl w:val="0"/>
          <w:numId w:val="5"/>
        </w:numPr>
        <w:ind w:left="0" w:firstLine="42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формування здорового способу життя молоді, відповідального ставлення до свого здоров’я та здоров’я оточуючих;</w:t>
      </w:r>
      <w:r/>
    </w:p>
    <w:p>
      <w:pPr>
        <w:pStyle w:val="285"/>
        <w:numPr>
          <w:ilvl w:val="0"/>
          <w:numId w:val="5"/>
        </w:numPr>
        <w:ind w:left="0" w:firstLine="42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підготовка молоді до сімейного життя та підтримка молодих сімей.</w:t>
      </w:r>
      <w:r/>
    </w:p>
    <w:p>
      <w:pPr>
        <w:pStyle w:val="285"/>
        <w:numPr>
          <w:ilvl w:val="0"/>
          <w:numId w:val="5"/>
        </w:numPr>
        <w:ind w:left="0" w:firstLine="42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сприяння виховання патріотизму, розвитку духовності, моральності дітей та молоді, організації змістовного дозвілля;</w:t>
      </w:r>
      <w:r/>
    </w:p>
    <w:p>
      <w:pPr>
        <w:pStyle w:val="285"/>
        <w:numPr>
          <w:ilvl w:val="0"/>
          <w:numId w:val="5"/>
        </w:numPr>
        <w:ind w:left="0" w:firstLine="42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формування у молоді поваги до Закону та запобігання негативних явищ в молодіжному середовищі;</w:t>
      </w:r>
      <w:r/>
    </w:p>
    <w:p>
      <w:pPr>
        <w:pStyle w:val="285"/>
        <w:numPr>
          <w:ilvl w:val="0"/>
          <w:numId w:val="5"/>
        </w:numPr>
        <w:ind w:left="0" w:firstLine="42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розвиток громадської активності молоді, забезпечення постійн</w:t>
      </w:r>
      <w:r>
        <w:rPr>
          <w:rFonts w:ascii="Times New Roman" w:hAnsi="Times New Roman"/>
          <w:sz w:val="28"/>
          <w:szCs w:val="28"/>
        </w:rPr>
        <w:t xml:space="preserve">ої співпраці </w:t>
      </w:r>
      <w:r>
        <w:rPr>
          <w:rFonts w:ascii="Times New Roman" w:hAnsi="Times New Roman" w:eastAsia="Times New Roman"/>
          <w:sz w:val="28"/>
          <w:szCs w:val="28"/>
        </w:rPr>
        <w:t xml:space="preserve">органів місцевого самоврядування  з молодіжними та громадськими організаціями;</w:t>
      </w:r>
      <w:r/>
    </w:p>
    <w:p>
      <w:pPr>
        <w:pStyle w:val="285"/>
        <w:numPr>
          <w:ilvl w:val="0"/>
          <w:numId w:val="5"/>
        </w:numPr>
        <w:ind w:left="0" w:firstLine="42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формування інформаційного простору для реалізації державної молодіжної політики;</w:t>
      </w:r>
      <w:r/>
    </w:p>
    <w:p>
      <w:pPr>
        <w:pStyle w:val="285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забезпечення реалізації прав молоді з особливими потребами;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Заходи щодо реалізації програми вкладені в додатку №1, до Програми.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Очікуванні результати виконання Програми</w:t>
      </w:r>
      <w:r/>
    </w:p>
    <w:p>
      <w:pPr>
        <w:ind w:firstLine="708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 результаті виконання Програми очікується:</w:t>
      </w:r>
      <w:r/>
    </w:p>
    <w:p>
      <w:pPr>
        <w:ind w:firstLine="708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- сприяння підвищення ефективності державної молодіжної політики в </w:t>
      </w:r>
      <w:r>
        <w:rPr>
          <w:rFonts w:ascii="Times New Roman" w:hAnsi="Times New Roman"/>
          <w:sz w:val="28"/>
          <w:szCs w:val="28"/>
        </w:rPr>
        <w:t xml:space="preserve">Менській об’єднаній територіальній громаді</w:t>
      </w:r>
      <w:r>
        <w:rPr>
          <w:rFonts w:ascii="Times New Roman" w:hAnsi="Times New Roman" w:eastAsia="Times New Roman"/>
          <w:sz w:val="28"/>
          <w:szCs w:val="28"/>
        </w:rPr>
        <w:t xml:space="preserve">, забезпечення необхідних умов для соціального ставлення та розвитку молоді;</w:t>
      </w:r>
      <w:r/>
    </w:p>
    <w:p>
      <w:pPr>
        <w:ind w:firstLine="708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- підвищення зацікавленості молоді в здобутті освіти, створення умов для отримання молоддю якісної освіти;</w:t>
      </w:r>
      <w:r/>
    </w:p>
    <w:p>
      <w:pPr>
        <w:ind w:firstLine="708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- поліпшення соціальної роботи з молоддю, зокрема з молодими сім’ями, молодими інвалідами, сиротами та дітьми, позбавленими батьківського піклування, з особами, що повернулися з місць позбавлення волі з залученням до роботи в молодіжних громадських організа</w:t>
      </w:r>
      <w:r>
        <w:rPr>
          <w:rFonts w:ascii="Times New Roman" w:hAnsi="Times New Roman" w:eastAsia="Times New Roman"/>
          <w:sz w:val="28"/>
          <w:szCs w:val="28"/>
        </w:rPr>
        <w:t xml:space="preserve">ціях;</w:t>
      </w:r>
      <w:r/>
    </w:p>
    <w:p>
      <w:pPr>
        <w:ind w:firstLine="708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- створення умов для поліпшення здоров’я молоді, посилення профілактичної роботи щодо запобігання наркоманії, захворювання на </w:t>
      </w:r>
      <w:r>
        <w:rPr>
          <w:rFonts w:ascii="Times New Roman" w:hAnsi="Times New Roman"/>
          <w:sz w:val="28"/>
          <w:szCs w:val="28"/>
        </w:rPr>
        <w:t xml:space="preserve">ВІЛ/СНІД, охоплення молоді руховою активністю, пропаганди здорового способу життя</w:t>
      </w:r>
      <w:r>
        <w:rPr>
          <w:rFonts w:ascii="Times New Roman" w:hAnsi="Times New Roman" w:eastAsia="Times New Roman"/>
          <w:sz w:val="28"/>
          <w:szCs w:val="28"/>
        </w:rPr>
        <w:t xml:space="preserve">, заняттями фізичною культурою та спортом, що позитивно впливає на зменшення захворюван</w:t>
      </w:r>
      <w:r>
        <w:rPr>
          <w:rFonts w:ascii="Times New Roman" w:hAnsi="Times New Roman"/>
          <w:sz w:val="28"/>
          <w:szCs w:val="28"/>
        </w:rPr>
        <w:t xml:space="preserve">ості молоді,</w:t>
      </w:r>
      <w:r>
        <w:rPr>
          <w:rFonts w:ascii="Times New Roman" w:hAnsi="Times New Roman" w:eastAsia="Times New Roman"/>
          <w:sz w:val="28"/>
          <w:szCs w:val="28"/>
        </w:rPr>
        <w:t xml:space="preserve"> формування навичок здорового способу життя;</w:t>
      </w:r>
      <w:r/>
    </w:p>
    <w:p>
      <w:pPr>
        <w:ind w:firstLine="708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- залучення юнаків та дівчат до оволодіння культурними цінностями українського народу, сприяння розвиткові професійної та самодіяльної художньої творчості,  посилення роботи творчих спілок та об’єднань, клубів за інтересами, розвиток сучасної індустрії дозв</w:t>
      </w:r>
      <w:r>
        <w:rPr>
          <w:rFonts w:ascii="Times New Roman" w:hAnsi="Times New Roman" w:eastAsia="Times New Roman"/>
          <w:sz w:val="28"/>
          <w:szCs w:val="28"/>
        </w:rPr>
        <w:t xml:space="preserve">ілля молоді;</w:t>
      </w:r>
      <w:r/>
    </w:p>
    <w:p>
      <w:pPr>
        <w:ind w:firstLine="708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- надзвичайно важливим є питання щодо формування духовних потреб молоді, зацікавленості в дослідженні загальнолюдських цінностей та історичної спадщини народу, залучення її до культурн</w:t>
      </w:r>
      <w:r>
        <w:rPr>
          <w:rFonts w:ascii="Times New Roman" w:hAnsi="Times New Roman"/>
          <w:sz w:val="28"/>
          <w:szCs w:val="28"/>
        </w:rPr>
        <w:t xml:space="preserve">ого життя.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/>
      <w:bookmarkStart w:id="9" w:name="16"/>
      <w:r/>
      <w:bookmarkEnd w:id="9"/>
      <w:r>
        <w:rPr>
          <w:rFonts w:ascii="Times New Roman" w:hAnsi="Times New Roman"/>
          <w:sz w:val="28"/>
          <w:szCs w:val="28"/>
        </w:rPr>
        <w:tab/>
        <w:t xml:space="preserve"> С</w:t>
      </w:r>
      <w:r>
        <w:rPr>
          <w:rFonts w:ascii="Times New Roman" w:hAnsi="Times New Roman" w:eastAsia="Times New Roman"/>
          <w:sz w:val="28"/>
          <w:szCs w:val="28"/>
        </w:rPr>
        <w:t xml:space="preserve">оціальне становище молоді як однієї з найбільш уразливих категорій населення, що характеризується наявністю амбіцій, завищених очікувань, пошуком власного шляху і прагненням до самореалізації, є показником успішності суспільства, можливості реалізації його </w:t>
      </w:r>
      <w:r>
        <w:rPr>
          <w:rFonts w:ascii="Times New Roman" w:hAnsi="Times New Roman" w:eastAsia="Times New Roman"/>
          <w:sz w:val="28"/>
          <w:szCs w:val="28"/>
        </w:rPr>
        <w:t xml:space="preserve">потенціалу. </w:t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6. Фінансове забезпечення програми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Фінансування Програми здійснюватиметься за рахунок коштів місцевого бюджету, виходячи з його фінансових можливостей, а також інших джерел фінансування, не заборонених чинним законодавством України.</w:t>
      </w:r>
      <w:r/>
    </w:p>
    <w:tbl>
      <w:tblPr>
        <w:tblStyle w:val="296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1701"/>
        <w:gridCol w:w="1842"/>
        <w:gridCol w:w="1774"/>
      </w:tblGrid>
      <w:tr>
        <w:trPr>
          <w:trHeight w:val="343"/>
        </w:trPr>
        <w:tc>
          <w:tcPr>
            <w:tcW w:w="2376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Джерела фінансування</w:t>
            </w:r>
            <w:r>
              <w:rPr>
                <w:sz w:val="20"/>
              </w:rPr>
            </w:r>
            <w:r/>
          </w:p>
        </w:tc>
        <w:tc>
          <w:tcPr>
            <w:tcW w:w="212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Обсяг фінансування</w:t>
            </w:r>
            <w:r>
              <w:rPr>
                <w:sz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(тис. грн.)</w:t>
            </w:r>
            <w:r>
              <w:rPr>
                <w:sz w:val="20"/>
              </w:rPr>
            </w:r>
            <w:r/>
          </w:p>
        </w:tc>
        <w:tc>
          <w:tcPr>
            <w:gridSpan w:val="3"/>
            <w:tcBorders>
              <w:bottom w:val="single" w:sz="4" w:space="0" w:color="auto"/>
            </w:tcBorders>
            <w:tcW w:w="5317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У тому числі за роками</w:t>
            </w:r>
            <w:r>
              <w:rPr>
                <w:sz w:val="20"/>
              </w:rPr>
            </w:r>
            <w:r/>
          </w:p>
        </w:tc>
      </w:tr>
      <w:tr>
        <w:trPr>
          <w:trHeight w:val="345"/>
        </w:trPr>
        <w:tc>
          <w:tcPr>
            <w:tcW w:w="2376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</w:r>
            <w:r/>
          </w:p>
        </w:tc>
        <w:tc>
          <w:tcPr>
            <w:tcW w:w="2127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</w:r>
            <w:r/>
          </w:p>
        </w:tc>
        <w:tc>
          <w:tcPr>
            <w:tcBorders>
              <w:top w:val="single" w:sz="4" w:space="0" w:color="auto"/>
              <w:right w:val="single" w:sz="4" w:space="0" w:color="auto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2020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84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2021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</w:tcBorders>
            <w:tcW w:w="177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2022</w:t>
            </w:r>
            <w:r>
              <w:rPr>
                <w:sz w:val="20"/>
              </w:rPr>
            </w:r>
            <w:r/>
          </w:p>
        </w:tc>
      </w:tr>
      <w:tr>
        <w:trPr>
          <w:trHeight w:val="698"/>
        </w:trPr>
        <w:tc>
          <w:tcPr>
            <w:tcW w:w="237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Місцеві бюджети</w:t>
            </w:r>
            <w:r/>
          </w:p>
        </w:tc>
        <w:tc>
          <w:tcPr>
            <w:tcW w:w="2127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1 425,0</w:t>
            </w:r>
            <w:r/>
          </w:p>
        </w:tc>
        <w:tc>
          <w:tcPr>
            <w:tcBorders>
              <w:right w:val="single" w:sz="4" w:space="0" w:color="auto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400,0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84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475,0</w:t>
            </w:r>
            <w:r/>
          </w:p>
        </w:tc>
        <w:tc>
          <w:tcPr>
            <w:tcBorders>
              <w:left w:val="single" w:sz="4" w:space="0" w:color="auto"/>
            </w:tcBorders>
            <w:tcW w:w="177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550,0</w:t>
            </w:r>
            <w:r/>
          </w:p>
        </w:tc>
      </w:tr>
    </w:tbl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Фінансування заходів програми відбувається відповідно до кошторису заходу, який розробляється Сектором сім’ї, молоді та спорту та подається на погодження міському голові.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Управління та контроль за ходом виконання Програми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Головним виконавцем Програми є Менська міська рада та Сектор сім’ї, молоді та спорту Менської міської ради. Контроль за її виконанням здійснює заступник міського голови з питань діяльності виконкому Менської міської ради, відповідно до розподілу функціональ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них обов’язків.</w:t>
      </w:r>
      <w:r/>
    </w:p>
    <w:p>
      <w:pPr>
        <w:spacing w:lineRule="auto" w:line="276" w:after="20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br w:type="page"/>
      </w:r>
      <w:r/>
    </w:p>
    <w:p>
      <w:pPr>
        <w:ind w:left="6946"/>
        <w:jc w:val="both"/>
        <w:rPr>
          <w:rFonts w:ascii="Times New Roman" w:hAnsi="Times New Roman"/>
        </w:rPr>
        <w:sectPr>
          <w:footnotePr/>
          <w:type w:val="nextPage"/>
          <w:pgSz w:w="11906" w:h="16838"/>
          <w:pgMar w:top="850" w:right="850" w:bottom="850" w:left="1417" w:gutter="0" w:header="708" w:footer="708"/>
          <w:cols w:num="1" w:sep="0" w:space="708" w:equalWidth="1"/>
          <w:docGrid w:linePitch="360"/>
        </w:sectPr>
      </w:pPr>
      <w:r>
        <w:rPr>
          <w:rFonts w:ascii="Times New Roman" w:hAnsi="Times New Roman"/>
        </w:rPr>
      </w:r>
      <w:r/>
    </w:p>
    <w:p>
      <w:pPr>
        <w:ind w:left="11057"/>
        <w:keepNext/>
        <w:tabs>
          <w:tab w:val="left" w:pos="9639" w:leader="none"/>
        </w:tabs>
        <w:rPr>
          <w:rFonts w:ascii="Times New Roman" w:hAnsi="Times New Roman" w:eastAsia="Times New Roman"/>
          <w:lang w:eastAsia="ru-RU"/>
        </w:rPr>
        <w:outlineLvl w:val="1"/>
      </w:pPr>
      <w:r>
        <w:rPr>
          <w:rFonts w:ascii="Times New Roman" w:hAnsi="Times New Roman" w:eastAsia="Times New Roman"/>
          <w:bCs/>
          <w:iCs/>
          <w:lang w:eastAsia="ru-RU"/>
        </w:rPr>
        <w:t xml:space="preserve">Додаток 1 до </w:t>
      </w:r>
      <w:r>
        <w:rPr>
          <w:rFonts w:ascii="Times New Roman" w:hAnsi="Times New Roman" w:eastAsia="Times New Roman"/>
          <w:lang w:eastAsia="ru-RU"/>
        </w:rPr>
        <w:t xml:space="preserve">Програми «Молодь Менської громади» на 2020-2022 роки</w:t>
      </w:r>
      <w:r>
        <w:rPr>
          <w:rFonts w:ascii="Times New Roman" w:hAnsi="Times New Roman"/>
          <w:sz w:val="22"/>
          <w:szCs w:val="28"/>
        </w:rPr>
      </w:r>
      <w:r/>
    </w:p>
    <w:tbl>
      <w:tblPr>
        <w:tblStyle w:val="296"/>
        <w:tblW w:w="0" w:type="auto"/>
        <w:tblLayout w:type="fixed"/>
        <w:tblLook w:val="04A0" w:firstRow="1" w:lastRow="0" w:firstColumn="1" w:lastColumn="0" w:noHBand="0" w:noVBand="1"/>
      </w:tblPr>
      <w:tblGrid>
        <w:gridCol w:w="296"/>
        <w:gridCol w:w="4772"/>
        <w:gridCol w:w="4677"/>
        <w:gridCol w:w="1276"/>
        <w:gridCol w:w="1417"/>
        <w:gridCol w:w="850"/>
        <w:gridCol w:w="709"/>
        <w:gridCol w:w="709"/>
        <w:gridCol w:w="646"/>
      </w:tblGrid>
      <w:tr>
        <w:trPr>
          <w:trHeight w:val="495"/>
        </w:trPr>
        <w:tc>
          <w:tcPr>
            <w:tcW w:w="296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 w:val="false"/>
                <w:sz w:val="18"/>
                <w:szCs w:val="24"/>
              </w:rPr>
            </w:pPr>
            <w:r>
              <w:rPr>
                <w:rFonts w:ascii="Times New Roman" w:hAnsi="Times New Roman"/>
                <w:b w:val="false"/>
                <w:sz w:val="18"/>
                <w:szCs w:val="24"/>
              </w:rPr>
              <w:t xml:space="preserve">№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rFonts w:ascii="Times New Roman" w:hAnsi="Times New Roman"/>
                <w:b w:val="false"/>
                <w:sz w:val="18"/>
                <w:szCs w:val="24"/>
              </w:rPr>
            </w:pPr>
            <w:r>
              <w:rPr>
                <w:rFonts w:ascii="Times New Roman" w:hAnsi="Times New Roman"/>
                <w:b w:val="false"/>
                <w:sz w:val="18"/>
                <w:szCs w:val="24"/>
              </w:rPr>
              <w:t xml:space="preserve">з/п</w:t>
            </w:r>
            <w:r>
              <w:rPr>
                <w:b w:val="false"/>
              </w:rPr>
            </w:r>
            <w:r/>
          </w:p>
        </w:tc>
        <w:tc>
          <w:tcPr>
            <w:tcW w:w="4772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 w:val="false"/>
                <w:sz w:val="18"/>
                <w:szCs w:val="24"/>
              </w:rPr>
            </w:pPr>
            <w:r>
              <w:rPr>
                <w:rFonts w:ascii="Times New Roman" w:hAnsi="Times New Roman"/>
                <w:b w:val="false"/>
                <w:sz w:val="18"/>
                <w:szCs w:val="24"/>
              </w:rPr>
              <w:t xml:space="preserve">Зміст заходу</w:t>
            </w:r>
            <w:r>
              <w:rPr>
                <w:b w:val="false"/>
              </w:rPr>
            </w:r>
            <w:r/>
          </w:p>
        </w:tc>
        <w:tc>
          <w:tcPr>
            <w:tcW w:w="46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 w:val="false"/>
                <w:sz w:val="18"/>
                <w:szCs w:val="24"/>
              </w:rPr>
            </w:pPr>
            <w:r>
              <w:rPr>
                <w:rFonts w:ascii="Times New Roman" w:hAnsi="Times New Roman"/>
                <w:b w:val="false"/>
                <w:sz w:val="18"/>
                <w:szCs w:val="24"/>
              </w:rPr>
              <w:t xml:space="preserve">Виконавці</w:t>
            </w:r>
            <w:r>
              <w:rPr>
                <w:b w:val="false"/>
              </w:rPr>
            </w:r>
            <w:r/>
          </w:p>
        </w:tc>
        <w:tc>
          <w:tcPr>
            <w:tcW w:w="1276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 w:val="false"/>
                <w:sz w:val="18"/>
                <w:szCs w:val="24"/>
              </w:rPr>
            </w:pPr>
            <w:r>
              <w:rPr>
                <w:rFonts w:ascii="Times New Roman" w:hAnsi="Times New Roman"/>
                <w:b w:val="false"/>
                <w:sz w:val="18"/>
                <w:szCs w:val="24"/>
              </w:rPr>
              <w:t xml:space="preserve">Термін виконання</w:t>
            </w:r>
            <w:r>
              <w:rPr>
                <w:b w:val="false"/>
              </w:rPr>
            </w:r>
            <w:r/>
          </w:p>
        </w:tc>
        <w:tc>
          <w:tcPr>
            <w:tcW w:w="141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 w:val="false"/>
                <w:sz w:val="18"/>
                <w:szCs w:val="24"/>
              </w:rPr>
            </w:pPr>
            <w:r>
              <w:rPr>
                <w:rFonts w:ascii="Times New Roman" w:hAnsi="Times New Roman"/>
                <w:b w:val="false"/>
                <w:sz w:val="18"/>
                <w:szCs w:val="24"/>
              </w:rPr>
              <w:t xml:space="preserve">Джерела фінансування</w:t>
            </w:r>
            <w:r>
              <w:rPr>
                <w:b w:val="false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 w:val="false"/>
                <w:sz w:val="18"/>
                <w:szCs w:val="24"/>
              </w:rPr>
            </w:pPr>
            <w:r>
              <w:rPr>
                <w:rFonts w:ascii="Times New Roman" w:hAnsi="Times New Roman"/>
                <w:b w:val="false"/>
                <w:sz w:val="18"/>
                <w:szCs w:val="24"/>
              </w:rPr>
              <w:t xml:space="preserve">Обсяги фінансування (тис. грн.)</w:t>
            </w:r>
            <w:r>
              <w:rPr>
                <w:b w:val="false"/>
              </w:rPr>
            </w:r>
            <w:r/>
          </w:p>
        </w:tc>
        <w:tc>
          <w:tcPr>
            <w:gridSpan w:val="3"/>
            <w:tcBorders>
              <w:left w:val="single" w:sz="4" w:space="0" w:color="auto"/>
              <w:bottom w:val="single" w:sz="4" w:space="0" w:color="auto"/>
            </w:tcBorders>
            <w:tcW w:w="206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 w:val="false"/>
                <w:sz w:val="18"/>
              </w:rPr>
            </w:pPr>
            <w:r>
              <w:rPr>
                <w:rFonts w:ascii="Times New Roman" w:hAnsi="Times New Roman"/>
                <w:b w:val="false"/>
                <w:sz w:val="18"/>
              </w:rPr>
              <w:t xml:space="preserve">У тому числі за роками</w:t>
            </w:r>
            <w:r>
              <w:rPr>
                <w:b w:val="false"/>
              </w:rPr>
            </w:r>
            <w:r/>
          </w:p>
        </w:tc>
      </w:tr>
      <w:tr>
        <w:trPr>
          <w:trHeight w:val="424"/>
        </w:trPr>
        <w:tc>
          <w:tcPr>
            <w:tcW w:w="296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  <w:r/>
          </w:p>
        </w:tc>
        <w:tc>
          <w:tcPr>
            <w:tcW w:w="4772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  <w:r/>
          </w:p>
        </w:tc>
        <w:tc>
          <w:tcPr>
            <w:tcW w:w="4677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  <w:r/>
          </w:p>
        </w:tc>
        <w:tc>
          <w:tcPr>
            <w:tcW w:w="1276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  <w:r/>
          </w:p>
        </w:tc>
        <w:tc>
          <w:tcPr>
            <w:tcW w:w="1417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 w:val="false"/>
                <w:sz w:val="18"/>
              </w:rPr>
            </w:pPr>
            <w:r>
              <w:rPr>
                <w:rFonts w:ascii="Times New Roman" w:hAnsi="Times New Roman"/>
                <w:b w:val="false"/>
                <w:sz w:val="18"/>
              </w:rPr>
              <w:t xml:space="preserve">2020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 w:val="false"/>
                <w:sz w:val="18"/>
              </w:rPr>
            </w:pPr>
            <w:r>
              <w:rPr>
                <w:rFonts w:ascii="Times New Roman" w:hAnsi="Times New Roman"/>
                <w:b w:val="false"/>
                <w:sz w:val="18"/>
              </w:rPr>
              <w:t xml:space="preserve">2021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</w:tcBorders>
            <w:tcW w:w="64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 w:val="false"/>
                <w:sz w:val="18"/>
              </w:rPr>
            </w:pPr>
            <w:r>
              <w:rPr>
                <w:rFonts w:ascii="Times New Roman" w:hAnsi="Times New Roman"/>
                <w:b w:val="false"/>
                <w:sz w:val="18"/>
              </w:rPr>
              <w:t xml:space="preserve">2022</w:t>
            </w:r>
            <w:r>
              <w:rPr>
                <w:b w:val="false"/>
              </w:rPr>
            </w:r>
            <w:r/>
          </w:p>
        </w:tc>
      </w:tr>
      <w:tr>
        <w:trPr>
          <w:trHeight w:val="269"/>
        </w:trPr>
        <w:tc>
          <w:tcPr>
            <w:tcW w:w="29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</w:t>
            </w:r>
            <w:r/>
          </w:p>
        </w:tc>
        <w:tc>
          <w:tcPr>
            <w:tcW w:w="4772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Підтримка та розвиток Менської молодіжної ради та інших дитячих та молодіжних об’єднань на території громади</w:t>
            </w:r>
            <w:r/>
          </w:p>
        </w:tc>
        <w:tc>
          <w:tcPr>
            <w:tcW w:w="4677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Менська міська рада, Сектор сім’ї, молоді та спорту Менської міської ради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2020-2022 роки</w:t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180,0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60,0</w:t>
            </w:r>
            <w:r/>
          </w:p>
        </w:tc>
        <w:tc>
          <w:tcPr>
            <w:tcBorders>
              <w:left w:val="single" w:sz="4" w:space="0" w:color="auto"/>
            </w:tcBorders>
            <w:tcW w:w="646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70,0</w:t>
            </w:r>
            <w:r/>
          </w:p>
        </w:tc>
      </w:tr>
      <w:tr>
        <w:trPr>
          <w:trHeight w:val="285"/>
        </w:trPr>
        <w:tc>
          <w:tcPr>
            <w:tcW w:w="29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</w:t>
            </w:r>
            <w:r/>
          </w:p>
        </w:tc>
        <w:tc>
          <w:tcPr>
            <w:tcW w:w="4772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</w:rPr>
              <w:t xml:space="preserve">Конкурс дитячих та молодіжних ініціатив (Положення про проведення конкурсу додаток 3 до програми)</w:t>
            </w:r>
            <w:r/>
          </w:p>
        </w:tc>
        <w:tc>
          <w:tcPr>
            <w:tcW w:w="4677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Менська міська рада, Сектор сім’ї, молоді та спорту, відділ освіти та відділ культури Менської міської ради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2020-2022 роки</w:t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720,0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240,0</w:t>
            </w:r>
            <w:r/>
          </w:p>
        </w:tc>
        <w:tc>
          <w:tcPr>
            <w:tcBorders>
              <w:left w:val="single" w:sz="4" w:space="0" w:color="auto"/>
            </w:tcBorders>
            <w:tcW w:w="646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280,0</w:t>
            </w:r>
            <w:r/>
          </w:p>
        </w:tc>
      </w:tr>
      <w:tr>
        <w:trPr>
          <w:trHeight w:val="285"/>
        </w:trPr>
        <w:tc>
          <w:tcPr>
            <w:tcW w:w="29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</w:t>
            </w:r>
            <w:r/>
          </w:p>
        </w:tc>
        <w:tc>
          <w:tcPr>
            <w:tcW w:w="4772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</w:rPr>
              <w:t xml:space="preserve">Створення школи «Молодого посадовця»</w:t>
            </w:r>
            <w:r/>
          </w:p>
        </w:tc>
        <w:tc>
          <w:tcPr>
            <w:tcW w:w="4677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Менська міська рада, Сектор сім’ї, молоді та спорту Менської міської ради, Відділ освіти Менської міської ради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2020-2022 роки</w:t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75,0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25,0</w:t>
            </w:r>
            <w:r/>
          </w:p>
        </w:tc>
        <w:tc>
          <w:tcPr>
            <w:tcBorders>
              <w:left w:val="single" w:sz="4" w:space="0" w:color="auto"/>
            </w:tcBorders>
            <w:tcW w:w="646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30,0</w:t>
            </w:r>
            <w:r/>
          </w:p>
        </w:tc>
      </w:tr>
      <w:tr>
        <w:trPr>
          <w:trHeight w:val="285"/>
        </w:trPr>
        <w:tc>
          <w:tcPr>
            <w:tcW w:w="29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</w:t>
            </w:r>
            <w:r/>
          </w:p>
        </w:tc>
        <w:tc>
          <w:tcPr>
            <w:tcW w:w="4772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Організація та проведення акцій, форумів, свят, семінарів, тренінгів, ярмарок, обговорень за круглим столом.</w:t>
            </w:r>
            <w:r/>
          </w:p>
        </w:tc>
        <w:tc>
          <w:tcPr>
            <w:tcW w:w="4677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Сектор сім’ї, молоді та спорту Менської міської ради, Відділ культури Менської міської ради, Відділ освіти Менської міської ради 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2020-2022 роки</w:t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135,0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45,0</w:t>
            </w:r>
            <w:r/>
          </w:p>
        </w:tc>
        <w:tc>
          <w:tcPr>
            <w:tcBorders>
              <w:left w:val="single" w:sz="4" w:space="0" w:color="auto"/>
            </w:tcBorders>
            <w:tcW w:w="646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50,0</w:t>
            </w:r>
            <w:r/>
          </w:p>
        </w:tc>
      </w:tr>
      <w:tr>
        <w:trPr>
          <w:trHeight w:val="285"/>
        </w:trPr>
        <w:tc>
          <w:tcPr>
            <w:tcW w:w="29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</w:t>
            </w:r>
            <w:r/>
          </w:p>
        </w:tc>
        <w:tc>
          <w:tcPr>
            <w:tcW w:w="4772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Сприяти залученню активної молоді до вирішення питань розвитку громади</w:t>
            </w:r>
            <w:r/>
          </w:p>
        </w:tc>
        <w:tc>
          <w:tcPr>
            <w:tcW w:w="4677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Менська міська рада, Сектор сім’ї, молоді та спорту </w:t>
            </w:r>
            <w:r>
              <w:rPr>
                <w:rFonts w:ascii="Times New Roman" w:hAnsi="Times New Roman"/>
              </w:rPr>
              <w:t xml:space="preserve">Менської міської ради 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2020-2022 роки</w:t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646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85"/>
        </w:trPr>
        <w:tc>
          <w:tcPr>
            <w:tcW w:w="29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</w:t>
            </w:r>
            <w:r/>
          </w:p>
        </w:tc>
        <w:tc>
          <w:tcPr>
            <w:tcW w:w="4772" w:type="dxa"/>
            <w:textDirection w:val="lrTb"/>
            <w:noWrap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Організація та проведення навчальних, обмінних візитів з молодіжними формуваннями України та Європи</w:t>
            </w:r>
            <w:r/>
          </w:p>
        </w:tc>
        <w:tc>
          <w:tcPr>
            <w:tcW w:w="4677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Сектор сім’ї, молоді та спорту Менської міської ради, Відділ освіти Менської міської ради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2020-2022 роки</w:t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180,0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60,0</w:t>
            </w:r>
            <w:r/>
          </w:p>
        </w:tc>
        <w:tc>
          <w:tcPr>
            <w:tcBorders>
              <w:left w:val="single" w:sz="4" w:space="0" w:color="auto"/>
            </w:tcBorders>
            <w:tcW w:w="646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70,0</w:t>
            </w:r>
            <w:r/>
          </w:p>
        </w:tc>
      </w:tr>
      <w:tr>
        <w:trPr>
          <w:trHeight w:val="285"/>
        </w:trPr>
        <w:tc>
          <w:tcPr>
            <w:tcW w:w="29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</w:t>
            </w:r>
            <w:r/>
          </w:p>
        </w:tc>
        <w:tc>
          <w:tcPr>
            <w:tcW w:w="4772" w:type="dxa"/>
            <w:textDirection w:val="lrTb"/>
            <w:noWrap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Виготовлення сувенірної та поліграфічної продукції, фото та відео матеріалів молодіжної ради.</w:t>
            </w:r>
            <w:r/>
          </w:p>
        </w:tc>
        <w:tc>
          <w:tcPr>
            <w:tcW w:w="4677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Сектор сім’ї, молоді та спорту Менської міської ради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2020-2022 роки</w:t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135,0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45,0</w:t>
            </w:r>
            <w:r/>
          </w:p>
        </w:tc>
        <w:tc>
          <w:tcPr>
            <w:tcBorders>
              <w:left w:val="single" w:sz="4" w:space="0" w:color="auto"/>
            </w:tcBorders>
            <w:tcW w:w="646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50,0</w:t>
            </w:r>
            <w:r/>
          </w:p>
        </w:tc>
      </w:tr>
      <w:tr>
        <w:trPr>
          <w:trHeight w:val="285"/>
        </w:trPr>
        <w:tc>
          <w:tcPr>
            <w:tcW w:w="29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</w:t>
            </w:r>
            <w:r/>
          </w:p>
        </w:tc>
        <w:tc>
          <w:tcPr>
            <w:tcW w:w="4772" w:type="dxa"/>
            <w:textDirection w:val="lrTb"/>
            <w:noWrap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Постійне висвітлення у засобах масової інформації, інтернет ресурсах, соціальних мережах інформації  що стосується державної молодіжної політики</w:t>
            </w:r>
            <w:r/>
          </w:p>
        </w:tc>
        <w:tc>
          <w:tcPr>
            <w:tcW w:w="4677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Сектор сім’ї, молоді та спорту Менської міської ради, Відділ організаційної роботи та інформаційного забезпечення Менської міської ради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2020-2022 роки</w:t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646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85"/>
        </w:trPr>
        <w:tc>
          <w:tcPr>
            <w:gridSpan w:val="4"/>
            <w:tcW w:w="11021" w:type="dxa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ВСЬОГО</w:t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1 425,0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400,0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475,0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646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550,0</w:t>
            </w:r>
            <w:r>
              <w:rPr>
                <w:sz w:val="22"/>
              </w:rPr>
            </w:r>
            <w:r/>
          </w:p>
        </w:tc>
      </w:tr>
    </w:tbl>
    <w:p>
      <w:pPr>
        <w:spacing w:lineRule="auto" w:line="276" w:after="20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/>
    </w:p>
    <w:p>
      <w:pPr>
        <w:ind w:left="6946"/>
        <w:jc w:val="both"/>
        <w:rPr>
          <w:rFonts w:ascii="Times New Roman" w:hAnsi="Times New Roman"/>
        </w:rPr>
        <w:sectPr>
          <w:footnotePr/>
          <w:type w:val="nextPage"/>
          <w:pgSz w:w="16838" w:h="11906" w:orient="landscape"/>
          <w:pgMar w:top="851" w:right="851" w:bottom="1418" w:left="851" w:gutter="0" w:header="709" w:footer="709"/>
          <w:cols w:num="1" w:sep="0" w:space="708" w:equalWidth="1"/>
          <w:docGrid w:linePitch="360"/>
        </w:sectPr>
      </w:pPr>
      <w:r>
        <w:rPr>
          <w:rFonts w:ascii="Times New Roman" w:hAnsi="Times New Roman"/>
        </w:rPr>
      </w:r>
      <w:r/>
    </w:p>
    <w:p>
      <w:pPr>
        <w:ind w:left="5670"/>
        <w:keepNext/>
        <w:tabs>
          <w:tab w:val="left" w:pos="9639" w:leader="none"/>
        </w:tabs>
        <w:rPr>
          <w:rFonts w:ascii="Times New Roman" w:hAnsi="Times New Roman" w:eastAsia="Times New Roman"/>
          <w:lang w:eastAsia="ru-RU"/>
        </w:rPr>
        <w:outlineLvl w:val="1"/>
      </w:pPr>
      <w:r>
        <w:rPr>
          <w:rFonts w:ascii="Times New Roman" w:hAnsi="Times New Roman" w:eastAsia="Times New Roman"/>
          <w:bCs/>
          <w:iCs/>
          <w:lang w:eastAsia="ru-RU"/>
        </w:rPr>
        <w:t xml:space="preserve">Додаток 2 до рішення 36 </w:t>
      </w:r>
      <w:r>
        <w:rPr>
          <w:rFonts w:ascii="Times New Roman" w:hAnsi="Times New Roman" w:eastAsia="Times New Roman"/>
          <w:bCs/>
          <w:iCs/>
          <w:lang w:eastAsia="ru-RU"/>
        </w:rPr>
        <w:t xml:space="preserve">сесії</w:t>
      </w:r>
      <w:r>
        <w:rPr>
          <w:rFonts w:ascii="Times New Roman" w:hAnsi="Times New Roman" w:eastAsia="Times New Roman"/>
          <w:bCs/>
          <w:iCs/>
          <w:lang w:eastAsia="ru-RU"/>
        </w:rPr>
        <w:t xml:space="preserve"> Менської міської ради 7 скликання від 26.12.2019 №688 «</w:t>
      </w:r>
      <w:r>
        <w:rPr>
          <w:rFonts w:ascii="Times New Roman" w:hAnsi="Times New Roman" w:eastAsia="Times New Roman"/>
          <w:szCs w:val="28"/>
          <w:lang w:eastAsia="ru-RU"/>
        </w:rPr>
        <w:t xml:space="preserve">Про погодження програми «Молодь Менської громади» на 2020-2022 роки та Положення про проведення Конкурсу молодіжних та дитячих ініціатив</w:t>
      </w:r>
      <w:r/>
    </w:p>
    <w:p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ПОЛОЖЕННЯ ПРО ПРОВЕДЕННЯ КОНКУРСУ ДИТЯЧИХ ТА МОЛОДІЖНИХ ІНІЦІАТИВ</w:t>
      </w:r>
      <w:r/>
    </w:p>
    <w:p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1. ЗАГАЛЬНІ ПОЛОЖЕННЯ</w:t>
      </w:r>
      <w:r/>
    </w:p>
    <w:p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Дане Положення про проведення в 2020-22 роках конкурсу проектів серед дітей та молоді у Менській міській об’єднаній територіальній громаді (далі – Положення) встановлює порядок проведення конкурсу проектів та фінансування їх виконання відповідно до Про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грами «Молодь Менської громади» на 2020-2022 роки.</w:t>
      </w:r>
      <w:r/>
    </w:p>
    <w:p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1.2. Мета конкурсу дитячих та молодіжних ініціатив серед дітей та молоді Менської міської об’єднаної територіальної громади (далі – Конкурс) – підтримка громадських ініціатив, розвиток молодіжного руху, реалізація інтелектуального потенціалу талановитих діт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ей та молоді, виконання завдань Менської міської ради щодо розв’язання молодіжних проблем розвитку громади, створення сприятливих передумов для розвитку молодіжної політики та встановлення партнерських відносин між владою і молоддю Менської громади.</w:t>
      </w:r>
      <w:r/>
    </w:p>
    <w:p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1.3. Основні завдання Конкурсу – стимулювання молодіжних ініціатив через надання фінансової підтримки для реалізації завдань Програми «Молодь Менської громади» на 2020-2022 роки.</w:t>
      </w:r>
      <w:r/>
    </w:p>
    <w:p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1.4. Пріоритетні напрями Конкурсу:</w:t>
      </w:r>
      <w:r/>
    </w:p>
    <w:p>
      <w:pPr>
        <w:pStyle w:val="285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Здоровий та безпечний спосіб життя;</w:t>
      </w:r>
      <w:r/>
    </w:p>
    <w:p>
      <w:pPr>
        <w:pStyle w:val="285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Співпраця молоді з виконавчим комітетом Менської міської ради, підтримка молодіжних ініціатив;</w:t>
      </w:r>
      <w:r/>
    </w:p>
    <w:p>
      <w:pPr>
        <w:pStyle w:val="285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Громадянськість та патріотизм;</w:t>
      </w:r>
      <w:r/>
    </w:p>
    <w:p>
      <w:pPr>
        <w:pStyle w:val="285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Творчі ініціативи та сприяння розвитку змістовного дозвілля молоді.</w:t>
      </w:r>
      <w:r/>
    </w:p>
    <w:p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2. УМОВИ КОНКУРСУ</w:t>
      </w:r>
      <w:r/>
    </w:p>
    <w:p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2.1. До участі у конкурсі запрошуються групи шкільної молоді, молоді, молодіжні громадські організації Менської міської об’єднаної територіальної громади та інші об’єднання людей віком від 14 до 24 років.</w:t>
      </w:r>
      <w:r/>
    </w:p>
    <w:p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2.2. Для проведення Конкурсу створюється наглядово-експертна комісія у складі 7 осіб: з працівників структурних підрозділів Менської міської ради, Менської молодіжної ради (за умови якщо вони не є учасниками конкурсу) та представників громадськості. Головою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наглядово-експертної комісії призначається заступник міського голови з питань діяльності виконкому. У своїй діяльності наглядово-експертна комісія керується законодавством з питань молодіжної політики, іншими нормативно-правовими документами та даним Полож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енням.</w:t>
      </w:r>
      <w:r/>
    </w:p>
    <w:p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2.3. Група конкурсантів має право подавати лише один проект, в якому реалізується один з запропонованих напрямків.</w:t>
      </w:r>
      <w:r/>
    </w:p>
    <w:p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2.4. Конкурсанти подають на наглядово-експертної комісії наступні документи:</w:t>
      </w:r>
      <w:r/>
    </w:p>
    <w:p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2.4.1. </w:t>
      </w:r>
      <w:hyperlink r:id="rId9" w:history="1">
        <w:r>
          <w:rPr>
            <w:rStyle w:val="299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заявку (додаток 1)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;</w:t>
      </w:r>
      <w:r/>
    </w:p>
    <w:p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2.4.2. </w:t>
      </w:r>
      <w:hyperlink r:id="rId10" w:history="1">
        <w:r>
          <w:rPr>
            <w:rStyle w:val="299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аплікаційну форму з описом та бюджетом проекту (додаток 2)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;</w:t>
      </w:r>
      <w:r/>
    </w:p>
    <w:p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2.4.3. копії документів, завірених печаткою (при наявності) та підписом:</w:t>
      </w:r>
      <w:r/>
    </w:p>
    <w:p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– реєстраційних документів (для громадських організацій);</w:t>
      </w:r>
      <w:r/>
    </w:p>
    <w:p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– паспорту керівника організації (для громадських організацій);</w:t>
      </w:r>
      <w:r/>
    </w:p>
    <w:p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– паспорту та ідентифікаційного коду особи (для фізичних осіб, віком до 24 років).</w:t>
      </w:r>
      <w:r/>
    </w:p>
    <w:p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2.5. Вартість одного проекту не повинна перевищувати 50 тис. грн.</w:t>
      </w:r>
      <w:r/>
    </w:p>
    <w:p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2.6. Проекти подаються в письмовому та електронному вигляді за формами встановленого зразка.</w:t>
      </w:r>
      <w:r/>
    </w:p>
    <w:p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2.7. Реалізація проектів повинна бути спрямована на територію Менської міської об’єднаної територіальної громади.</w:t>
      </w:r>
      <w:r/>
    </w:p>
    <w:p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2.8. Реалізація проектів здійснюється протягом 2020, 2021, 2022 року.</w:t>
      </w:r>
      <w:r/>
    </w:p>
    <w:p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2.9. Проекти не допускаються до участі в Конкурсі та не фінансуються за наступних умов:</w:t>
      </w:r>
      <w:r/>
    </w:p>
    <w:p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2.9.1. Виявлення недостовірної інформації;</w:t>
      </w:r>
      <w:r/>
    </w:p>
    <w:p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2.9.2. Відкликання конкурсантом проекту;</w:t>
      </w:r>
      <w:r/>
    </w:p>
    <w:p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2.9.3. Надходження документів щодо проекту після закінчення встановленого строку їх прийому;</w:t>
      </w:r>
      <w:r/>
    </w:p>
    <w:p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2.9.4. Надання конкурсної документації не в повному обсязі або якщо документація не відповідає вимогам даного Положення;</w:t>
      </w:r>
      <w:r/>
    </w:p>
    <w:p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2.9.5. Спрямування на політичну та/або виборчу діяльність;</w:t>
      </w:r>
      <w:r/>
    </w:p>
    <w:p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2.9.6. Одержання прибутку й прямої матеріальної допомоги;</w:t>
      </w:r>
      <w:r/>
    </w:p>
    <w:p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2.9.7. Одержання заробітної плати, винагороди й інших компенсаційних виплат учасникам.</w:t>
      </w:r>
      <w:r/>
    </w:p>
    <w:p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2.9.8. Погашення боргових зобов’язань і матеріального збитку;</w:t>
      </w:r>
      <w:r/>
    </w:p>
    <w:p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2.9.9. Витрачання на придбання ліцензій, патентів, і товарних знаків;</w:t>
      </w:r>
      <w:r/>
    </w:p>
    <w:p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2.9.10. Придбання або ремонтування техніки для ініціативних груп громадян.</w:t>
      </w:r>
      <w:r/>
    </w:p>
    <w:p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2.9. Конкурсанти відповідають за достовірність інформації і документів, які вони надають, відповідно до чинного законодавства України.</w:t>
      </w:r>
      <w:r/>
    </w:p>
    <w:p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2.10. На окрему вимогу наглядово-експертної комісії конкурсанти можуть надавати додаткову інформацію щодо проектів. Для наочної презентації проекту допускається проведення демонстраційних показів робіт (друкованих видань, аудіо і відеопродукції).</w:t>
      </w:r>
      <w:r/>
    </w:p>
    <w:p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3. ПОВНОВАЖЕННЯ І РЕГЛАМЕНТ РОБОТИ НАГЛЯДОВО-ЕКСПЕРТНОЇ КОМІСІЇ</w:t>
      </w:r>
      <w:r/>
    </w:p>
    <w:p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3.1. Наглядово-експертна комісія контролює дотримання даного Положення й плану проведення Конкурсу.</w:t>
      </w:r>
      <w:r/>
    </w:p>
    <w:p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3.2. Приймає всі необхідні документи, здійснює їх перевірку.</w:t>
      </w:r>
      <w:r/>
    </w:p>
    <w:p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3.3. Приймає рішення про допуск проектів до Конкурсу.</w:t>
      </w:r>
      <w:r/>
    </w:p>
    <w:p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3.4. Здійснює контроль за прозорістю та відповідністю чинному законодавству процедури голосування.</w:t>
      </w:r>
      <w:r/>
    </w:p>
    <w:p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3.5.В разі виявлення порушень даного Положення та/або чинного законодавства має право знімати проект з участі в Конкурсі.</w:t>
      </w:r>
      <w:r/>
    </w:p>
    <w:p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3.6. Засідання наглядово-експертної комісії є правочинним, якщо в них беруть участь більше половини членів від затвердженого персонального складу.</w:t>
      </w:r>
      <w:r/>
    </w:p>
    <w:p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3.7. За результатами розгляду питань наглядово-експертною комісією приймаються рішення, що фіксуються у протоколі та підписуються головою комісії, а у випадку його відсутності – його заступником.</w:t>
      </w:r>
      <w:r/>
    </w:p>
    <w:p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3.8. Рішення наглядово-експертної комісії приймається більшістю голосів від кількості членів комісії, які брали участь у засіданні. У випадку рівної кількості голосів вирішальним є голос голови комісії.</w:t>
      </w:r>
      <w:r/>
    </w:p>
    <w:p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4. ГРАФІК ПРОВЕДЕННЯ КОНКУРСУ ТА ВИЗНАЧЕННЯ ПЕРЕМОЖЦІВ</w:t>
      </w:r>
      <w:r/>
    </w:p>
    <w:p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4.1. Заявки і конкурсна документація подаються до наглядово-експертної комісії.</w:t>
      </w:r>
      <w:r/>
    </w:p>
    <w:p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4.2. Прийом заявок і документації відбувається за окремим графіком, затвердженим у порядку, що не суперечить чинному законодавству.</w:t>
      </w:r>
      <w:r/>
    </w:p>
    <w:p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4.3. Прийом заявок відбувається за встановленою формою.</w:t>
      </w:r>
      <w:r/>
    </w:p>
    <w:p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4.4. Протягом 15 днів з дня закінчення прийому конкурсної документації проектів відбувається розгляд заявок наглядово-експертною комісією:</w:t>
      </w:r>
      <w:r/>
    </w:p>
    <w:p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4.5. Конкурс проводиться у формі онлайн-голосування з використанням сервісів Google. </w:t>
      </w:r>
      <w:r/>
    </w:p>
    <w:p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4.6. Приймати участь в голосування можуть всі жителі Менської міської об’єднаної територіальної громади.</w:t>
      </w:r>
      <w:r/>
    </w:p>
    <w:p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4.7. Термін проведення голосування – 30 календарних днів.</w:t>
      </w:r>
      <w:r/>
    </w:p>
    <w:p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4.8. Наглядово-експертна комісія здійснює підрахунок голосів. В разі порушення умов даного Положення чи недостовірності наданих даних голоси не зараховуються.</w:t>
      </w:r>
      <w:r/>
    </w:p>
    <w:p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4.9. Повідомлення про переможців висвітлюється в місцевих засобах масової інформації та на офіційному сайті Менської міської об’єднаної територіальної громади.</w:t>
      </w:r>
      <w:r/>
    </w:p>
    <w:p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4.10. За результатами реалізації проектів наглядово-експертна комісія інформує про результати реалізованих проектів на найближчому засіданні сесії Менської міської ради.</w:t>
      </w:r>
      <w:r/>
    </w:p>
    <w:p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5. ФІНАНСУВАННЯ РЕАЛІЗАЦІЇ ПРОЕКТІВ</w:t>
      </w:r>
      <w:r/>
    </w:p>
    <w:p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5.1. Фінансування реалізації проектів, визнаних переможцями, здійснюється за рахунок коштів міського бюджету, передбачених на 2020, 2021, 2022 роки в рамках Програми «Молодь Менської громади» на 2020-2022 роки.</w:t>
      </w:r>
      <w:r/>
    </w:p>
    <w:p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5.2. Реалізація проектів здійснюється відповідно до вимог чинного законодавства.</w:t>
      </w:r>
      <w:r/>
    </w:p>
    <w:p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5.3. Витрати, понесені конкурсантами до одержання коштів з міського бюджету і після завершення строку реалізації проекту, оплаті не підлягають.</w:t>
      </w:r>
      <w:r/>
    </w:p>
    <w:p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5.4. Моніторинг реалізації проектів здійснює наглядово-експертна комісія.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spacing w:lineRule="auto" w:line="276" w:after="20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/>
    </w:p>
    <w:p>
      <w:pPr>
        <w:ind w:left="5670"/>
        <w:keepNext/>
        <w:tabs>
          <w:tab w:val="left" w:pos="9639" w:leader="none"/>
        </w:tabs>
        <w:rPr>
          <w:rFonts w:ascii="Times New Roman" w:hAnsi="Times New Roman" w:eastAsia="Times New Roman"/>
          <w:lang w:eastAsia="ru-RU"/>
        </w:rPr>
        <w:outlineLvl w:val="1"/>
      </w:pPr>
      <w:r>
        <w:rPr>
          <w:rFonts w:ascii="Times New Roman" w:hAnsi="Times New Roman" w:eastAsia="Times New Roman"/>
          <w:bCs/>
          <w:iCs/>
          <w:lang w:eastAsia="ru-RU"/>
        </w:rPr>
        <w:t xml:space="preserve">Додаток 1до Положення про проведення конкурсу дитячих та молодіжних ініціатив </w:t>
      </w:r>
      <w:r/>
    </w:p>
    <w:p>
      <w:pPr>
        <w:ind w:left="5670"/>
        <w:keepNext/>
        <w:tabs>
          <w:tab w:val="left" w:pos="9639" w:leader="none"/>
        </w:tabs>
        <w:rPr>
          <w:rFonts w:ascii="Times New Roman" w:hAnsi="Times New Roman" w:eastAsia="Times New Roman"/>
          <w:lang w:eastAsia="ru-RU"/>
        </w:rPr>
        <w:outlineLvl w:val="1"/>
      </w:pPr>
      <w:r>
        <w:rPr>
          <w:rFonts w:ascii="Times New Roman" w:hAnsi="Times New Roman" w:eastAsia="Times New Roman"/>
          <w:lang w:eastAsia="ru-RU"/>
        </w:rPr>
      </w:r>
      <w:r/>
    </w:p>
    <w:p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</w:r>
      <w:r/>
    </w:p>
    <w:p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ЗАЯВКА</w:t>
      </w:r>
      <w:r/>
    </w:p>
    <w:p>
      <w:pPr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</w:r>
      <w:r/>
    </w:p>
    <w:tbl>
      <w:tblPr>
        <w:tblW w:w="9220" w:type="dxa"/>
        <w:tblInd w:w="-37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4543"/>
        <w:gridCol w:w="1698"/>
        <w:gridCol w:w="2979"/>
      </w:tblGrid>
      <w:tr>
        <w:trPr>
          <w:trHeight w:val="5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43" w:type="dxa"/>
            <w:textDirection w:val="lrTb"/>
            <w:noWrap/>
          </w:tcPr>
          <w:p>
            <w:pPr>
              <w:jc w:val="both"/>
              <w:spacing w:lineRule="auto" w:line="260" w:before="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Номер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проекту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77" w:type="dxa"/>
            <w:textDirection w:val="lrTb"/>
            <w:noWrap/>
          </w:tcPr>
          <w:p>
            <w:pPr>
              <w:jc w:val="both"/>
              <w:spacing w:lineRule="auto" w:line="260" w:before="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Дата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реєстрації</w:t>
            </w:r>
            <w:r/>
          </w:p>
        </w:tc>
      </w:tr>
      <w:tr>
        <w:trPr>
          <w:trHeight w:val="460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20" w:type="dxa"/>
            <w:textDirection w:val="lrTb"/>
            <w:noWrap/>
          </w:tcPr>
          <w:p>
            <w:pPr>
              <w:jc w:val="center"/>
              <w:spacing w:lineRule="auto" w:line="260" w:before="40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 xml:space="preserve">Конкурс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 xml:space="preserve">дитячих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 xml:space="preserve">та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 xml:space="preserve">молодіжних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 xml:space="preserve">ініціатив</w:t>
            </w:r>
            <w:r/>
          </w:p>
        </w:tc>
      </w:tr>
      <w:tr>
        <w:trPr>
          <w:trHeight w:val="620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41" w:type="dxa"/>
            <w:textDirection w:val="lrTb"/>
            <w:noWrap/>
          </w:tcPr>
          <w:p>
            <w:pPr>
              <w:spacing w:lineRule="auto" w:line="260" w:before="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Назва проекту (не більше одного речення)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9" w:type="dxa"/>
            <w:textDirection w:val="lrTb"/>
            <w:noWrap/>
          </w:tcPr>
          <w:p>
            <w:pPr>
              <w:jc w:val="both"/>
              <w:spacing w:before="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>
          <w:trHeight w:val="420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41" w:type="dxa"/>
            <w:textDirection w:val="lrTb"/>
            <w:noWrap/>
          </w:tcPr>
          <w:p>
            <w:pPr>
              <w:spacing w:lineRule="auto" w:line="260" w:before="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Очікуване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фінансування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з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міського бюджету (грн.)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9" w:type="dxa"/>
            <w:textDirection w:val="lrTb"/>
            <w:noWrap/>
          </w:tcPr>
          <w:p>
            <w:pPr>
              <w:jc w:val="both"/>
              <w:spacing w:lineRule="auto" w:line="260" w:before="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>
          <w:trHeight w:val="700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41" w:type="dxa"/>
            <w:textDirection w:val="lrTb"/>
            <w:noWrap/>
          </w:tcPr>
          <w:p>
            <w:pPr>
              <w:spacing w:lineRule="auto" w:line="260" w:before="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Назва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організації, що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подає проект, та її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юридичний статус або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ПІБ фізичної особи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9" w:type="dxa"/>
            <w:textDirection w:val="lrTb"/>
            <w:noWrap/>
          </w:tcPr>
          <w:p>
            <w:pPr>
              <w:jc w:val="both"/>
              <w:spacing w:before="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>
          <w:trHeight w:val="1140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41" w:type="dxa"/>
            <w:textDirection w:val="lrTb"/>
            <w:noWrap/>
          </w:tcPr>
          <w:p>
            <w:pPr>
              <w:spacing w:lineRule="auto" w:line="260" w:before="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Адреса організації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або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фізичної особи</w:t>
            </w:r>
            <w:r/>
          </w:p>
          <w:p>
            <w:pPr>
              <w:spacing w:lineRule="auto" w:line="260" w:before="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Телефон, Е-mail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9" w:type="dxa"/>
            <w:textDirection w:val="lrTb"/>
            <w:noWrap/>
          </w:tcPr>
          <w:p>
            <w:pPr>
              <w:jc w:val="both"/>
              <w:spacing w:before="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</w:tbl>
    <w:p>
      <w:pPr>
        <w:ind w:left="40"/>
        <w:jc w:val="both"/>
        <w:spacing w:befor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Підписи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засвідчують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зобов'язання:</w:t>
      </w:r>
      <w:r/>
    </w:p>
    <w:p>
      <w:pPr>
        <w:ind w:left="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подавати в проекті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правдиву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інформацію;</w:t>
      </w:r>
      <w:r/>
    </w:p>
    <w:p>
      <w:pPr>
        <w:ind w:left="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дотриманням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вимог чинного законодавства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України;</w:t>
      </w:r>
      <w:r/>
    </w:p>
    <w:p>
      <w:pPr>
        <w:ind w:left="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за будь-якого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використання, застосування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чи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поширення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інтелектуальних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або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інших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цінностей, створених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завдяки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реалізації проекту, посилатися на фінансову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підтримку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Менської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міської ради.</w:t>
      </w:r>
      <w:r/>
    </w:p>
    <w:p>
      <w:pPr>
        <w:ind w:left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left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left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___________________   __________________     "___" _____________ 20__ р.</w:t>
      </w:r>
      <w:r/>
    </w:p>
    <w:p>
      <w:pPr>
        <w:ind w:left="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 xml:space="preserve">(ПІБ)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(підпис)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(дата)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spacing w:lineRule="auto" w:line="276" w:after="20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/>
    </w:p>
    <w:p>
      <w:pPr>
        <w:ind w:left="5670"/>
        <w:keepNext/>
        <w:tabs>
          <w:tab w:val="left" w:pos="9639" w:leader="none"/>
        </w:tabs>
        <w:rPr>
          <w:rFonts w:ascii="Times New Roman" w:hAnsi="Times New Roman" w:eastAsia="Times New Roman"/>
          <w:lang w:eastAsia="ru-RU"/>
        </w:rPr>
        <w:outlineLvl w:val="1"/>
      </w:pPr>
      <w:r>
        <w:rPr>
          <w:rFonts w:ascii="Times New Roman" w:hAnsi="Times New Roman" w:eastAsia="Times New Roman"/>
          <w:bCs/>
          <w:iCs/>
          <w:lang w:eastAsia="ru-RU"/>
        </w:rPr>
        <w:t xml:space="preserve">Додаток 2 до Положення про проведення конкурсу дитячих та молодіжних ініціатив </w:t>
      </w:r>
      <w:r/>
    </w:p>
    <w:p>
      <w:pPr>
        <w:ind w:left="5670"/>
        <w:keepNext/>
        <w:tabs>
          <w:tab w:val="left" w:pos="9639" w:leader="none"/>
        </w:tabs>
        <w:rPr>
          <w:rFonts w:ascii="Times New Roman" w:hAnsi="Times New Roman" w:eastAsia="Times New Roman"/>
          <w:lang w:eastAsia="ru-RU"/>
        </w:rPr>
        <w:outlineLvl w:val="1"/>
      </w:pPr>
      <w:r>
        <w:rPr>
          <w:rFonts w:ascii="Times New Roman" w:hAnsi="Times New Roman" w:eastAsia="Times New Roman"/>
          <w:lang w:eastAsia="ru-RU"/>
        </w:rPr>
      </w:r>
      <w:r/>
    </w:p>
    <w:p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jc w:val="center"/>
        <w:rPr>
          <w:rFonts w:ascii="Times New Roman" w:hAnsi="Times New Roman"/>
          <w:b/>
          <w:color w:val="000000"/>
          <w:sz w:val="28"/>
          <w:u w:val="single"/>
        </w:rPr>
      </w:pPr>
      <w:r>
        <w:rPr>
          <w:rFonts w:ascii="Times New Roman" w:hAnsi="Times New Roman"/>
          <w:b/>
          <w:color w:val="000000"/>
          <w:sz w:val="28"/>
          <w:u w:val="single"/>
        </w:rPr>
        <w:t xml:space="preserve">АПЛІКАЦІЙНА ФОРМА</w:t>
      </w:r>
      <w:r/>
    </w:p>
    <w:p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  <w:r/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 xml:space="preserve">Назва проекту</w:t>
      </w:r>
      <w:r/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  <w:r/>
    </w:p>
    <w:p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 xml:space="preserve">Назва</w:t>
      </w:r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 xml:space="preserve">організації</w:t>
      </w:r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 xml:space="preserve">або</w:t>
      </w:r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 xml:space="preserve">ПІБ групи</w:t>
      </w:r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 xml:space="preserve">осіб, що</w:t>
      </w:r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 xml:space="preserve">реалізують проект</w:t>
      </w:r>
      <w:r/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  <w:r/>
    </w:p>
    <w:p>
      <w:pPr>
        <w:jc w:val="both"/>
        <w:rPr>
          <w:rFonts w:ascii="Times New Roman" w:hAnsi="Times New Roman"/>
          <w:b/>
          <w:i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 xml:space="preserve">Актуальність проекту, проблема, на розв'язання</w:t>
      </w:r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 xml:space="preserve">якої</w:t>
      </w:r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 xml:space="preserve">спрямовано проект:</w:t>
      </w:r>
      <w:r/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(Коротко обґрунтуйте, чому ваш проект є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актуальним, в чому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полягає суть проблеми, яку ваш проект має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розв’язати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чи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мінімізувати.) </w:t>
      </w:r>
      <w:r/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  <w:r/>
    </w:p>
    <w:p>
      <w:pPr>
        <w:jc w:val="both"/>
        <w:rPr>
          <w:rFonts w:ascii="Times New Roman" w:hAnsi="Times New Roman"/>
          <w:b/>
          <w:i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 xml:space="preserve">Очікувані</w:t>
      </w:r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 xml:space="preserve">результати проекту, їхній</w:t>
      </w:r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 xml:space="preserve">вплив на суспільне</w:t>
      </w:r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 xml:space="preserve">життя.</w:t>
      </w:r>
      <w:r/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(Опишіть, що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має бути результатом проекту, який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позитивний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вплив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цього результату на окрему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соціальну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групу, всю громаду, тобто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позитивні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наслідки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від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реалізації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вашого проекту.)</w:t>
      </w:r>
      <w:r/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  <w:r/>
    </w:p>
    <w:p>
      <w:pPr>
        <w:jc w:val="both"/>
        <w:rPr>
          <w:rFonts w:ascii="Times New Roman" w:hAnsi="Times New Roman"/>
          <w:b/>
          <w:i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 xml:space="preserve">Опис проекту</w:t>
      </w:r>
      <w:r/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 xml:space="preserve">1. Проблема, на вирішення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якої направлено проект</w:t>
      </w:r>
      <w:r/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(не більше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двох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сторінок формату А4, шрифтом 12 у один інтервал)</w:t>
      </w:r>
      <w:r/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Опишіть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ваше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бачення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проблеми та шляхів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її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вирішення (мінімізації), що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пропонуєте. Що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було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зроблено вами чи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вашою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організацією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щодо проекту за попередній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період? Обґрунтуйте, чому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реалізація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саме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цього проекту сприятиме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розв'язанню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зазначеної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проблеми.</w:t>
      </w:r>
      <w:r/>
    </w:p>
    <w:p>
      <w:pPr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 xml:space="preserve">2. Мета проекту (2-3 абзаци)</w:t>
      </w:r>
      <w:r/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 xml:space="preserve">3. План реалізації проекту</w:t>
      </w:r>
      <w:r/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Викладіть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детальний план реалізації проекту в просторі та часі (бажано у формі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таблиці).</w:t>
      </w:r>
      <w:r/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 xml:space="preserve">4. Ресурси, необхідні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для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реалізації проекту</w:t>
      </w:r>
      <w:r/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 xml:space="preserve">5. Результати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реалізації проекту</w:t>
      </w:r>
      <w:r/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Опишіть, які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кількісні та якісні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результати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очікуєте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отримати.</w:t>
      </w:r>
      <w:r/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  <w:r/>
    </w:p>
    <w:p>
      <w:pPr>
        <w:jc w:val="both"/>
        <w:rPr>
          <w:rFonts w:ascii="Times New Roman" w:hAnsi="Times New Roman"/>
          <w:b/>
          <w:i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 xml:space="preserve">Бюджет проекту</w:t>
      </w:r>
      <w:r/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 xml:space="preserve">Орієнтовна схема бюджету (у гривнях)</w:t>
      </w:r>
      <w:r/>
    </w:p>
    <w:tbl>
      <w:tblPr>
        <w:tblW w:w="9079" w:type="dxa"/>
        <w:tblInd w:w="-37" w:type="dxa"/>
        <w:tblLayout w:type="fixed"/>
        <w:tblLook w:val="0000" w:firstRow="0" w:lastRow="0" w:firstColumn="0" w:lastColumn="0" w:noHBand="0" w:noVBand="0"/>
      </w:tblPr>
      <w:tblGrid>
        <w:gridCol w:w="3402"/>
        <w:gridCol w:w="1849"/>
        <w:gridCol w:w="1882"/>
        <w:gridCol w:w="1946"/>
      </w:tblGrid>
      <w:tr>
        <w:trPr>
          <w:trHeight w:val="369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Статті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видатків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84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Кількість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188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Ціна</w:t>
            </w:r>
            <w:r/>
          </w:p>
        </w:tc>
        <w:tc>
          <w:tcPr>
            <w:tcBorders>
              <w:left w:val="single" w:sz="4" w:space="0" w:color="auto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46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Сума</w:t>
            </w:r>
            <w:r/>
          </w:p>
        </w:tc>
      </w:tr>
      <w:tr>
        <w:trPr>
          <w:trHeight w:val="20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2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849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1882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sz="4" w:space="0" w:color="auto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46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>
          <w:trHeight w:val="28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2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849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1882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sz="4" w:space="0" w:color="auto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46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>
          <w:trHeight w:val="257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2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…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849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1882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sz="4" w:space="0" w:color="auto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46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>
          <w:trHeight w:val="40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402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УСЬОГО: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849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sz="4" w:space="0" w:color="auto"/>
              <w:bottom w:val="single" w:color="000000" w:sz="6" w:space="0"/>
            </w:tcBorders>
            <w:tcW w:w="1882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sz="4" w:space="0" w:color="auto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46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</w:tr>
    </w:tbl>
    <w:p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ind w:left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       __________________     "___" _____________ 2019 р.</w:t>
      </w:r>
      <w:r/>
    </w:p>
    <w:p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(ПІБ)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(підпис)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(дата</w:t>
      </w:r>
      <w:r>
        <w:rPr>
          <w:rFonts w:ascii="Times New Roman" w:hAnsi="Times New Roman"/>
          <w:sz w:val="20"/>
          <w:szCs w:val="20"/>
        </w:rPr>
        <w:t xml:space="preserve">)</w:t>
      </w:r>
      <w:r/>
    </w:p>
    <w:sectPr>
      <w:footnotePr/>
      <w:type w:val="nextPage"/>
      <w:pgSz w:w="11906" w:h="16838"/>
      <w:pgMar w:top="851" w:right="851" w:bottom="851" w:left="1418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Symbol">
    <w:panose1 w:val="05010000000000000000"/>
  </w:font>
  <w:font w:name="Tahoma">
    <w:panose1 w:val="020B0604030504040204"/>
  </w:font>
  <w:font w:name="Wingdings">
    <w:panose1 w:val="05030102010509060703"/>
  </w:font>
  <w:font w:name="Courier New">
    <w:panose1 w:val="020703090202050204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"/>
      <w:lvlJc w:val="left"/>
      <w:pPr>
        <w:ind w:left="720" w:hanging="357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7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7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7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7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7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7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7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7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720" w:hanging="357"/>
        <w:tabs>
          <w:tab w:val="left" w:pos="720" w:leader="none"/>
        </w:tabs>
      </w:pPr>
      <w:rPr>
        <w:rFonts w:ascii="Times New Roman" w:hAnsi="Times New Roman" w:cs="Times New Roman" w:eastAsia="Times New Roman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7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7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7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7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7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7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7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7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lvlJc w:val="left"/>
      <w:pPr>
        <w:ind w:left="720" w:hanging="357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7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7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7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7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7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7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7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7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927" w:hanging="357"/>
      </w:pPr>
      <w:rPr>
        <w:rFonts w:hint="default"/>
      </w:rPr>
    </w:lvl>
    <w:lvl w:ilvl="1">
      <w:start w:val="1"/>
      <w:numFmt w:val="non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4">
    <w:multiLevelType w:val="hybridMultilevel"/>
    <w:lvl w:ilvl="0">
      <w:start w:val="4"/>
      <w:numFmt w:val="bullet"/>
      <w:suff w:val="tab"/>
      <w:lvlText w:val="-"/>
      <w:lvlJc w:val="left"/>
      <w:pPr>
        <w:ind w:left="720" w:hanging="357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suff w:val="tab"/>
      <w:lvlText w:val="o"/>
      <w:lvlJc w:val="left"/>
      <w:pPr>
        <w:ind w:left="1440" w:hanging="357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7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7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7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7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7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7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7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suff w:val="tab"/>
      <w:lvlText w:val="-"/>
      <w:lvlJc w:val="left"/>
      <w:pPr>
        <w:ind w:left="510" w:hanging="357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suff w:val="tab"/>
      <w:lvlText w:val="o"/>
      <w:lvlJc w:val="left"/>
      <w:pPr>
        <w:ind w:left="1230" w:hanging="357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1950" w:hanging="357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670" w:hanging="357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390" w:hanging="357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110" w:hanging="357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4830" w:hanging="357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550" w:hanging="357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270" w:hanging="357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58"/>
      </w:pPr>
      <w:rPr>
        <w:rFonts w:hint="default"/>
        <w:b/>
      </w:rPr>
    </w:lvl>
    <w:lvl w:ilvl="1">
      <w:start w:val="1"/>
      <w:numFmt w:val="lowerLetter"/>
      <w:suff w:val="tab"/>
      <w:lvlText w:val="%2."/>
      <w:lvlJc w:val="left"/>
      <w:pPr>
        <w:ind w:left="1800" w:hanging="358"/>
      </w:pPr>
    </w:lvl>
    <w:lvl w:ilvl="2">
      <w:start w:val="1"/>
      <w:numFmt w:val="lowerRoman"/>
      <w:suff w:val="tab"/>
      <w:lvlText w:val="%3."/>
      <w:lvlJc w:val="right"/>
      <w:pPr>
        <w:ind w:left="2520" w:hanging="178"/>
      </w:pPr>
    </w:lvl>
    <w:lvl w:ilvl="3">
      <w:start w:val="1"/>
      <w:numFmt w:val="decimal"/>
      <w:suff w:val="tab"/>
      <w:lvlText w:val="%4."/>
      <w:lvlJc w:val="left"/>
      <w:pPr>
        <w:ind w:left="3240" w:hanging="358"/>
      </w:pPr>
    </w:lvl>
    <w:lvl w:ilvl="4">
      <w:start w:val="1"/>
      <w:numFmt w:val="lowerLetter"/>
      <w:suff w:val="tab"/>
      <w:lvlText w:val="%5."/>
      <w:lvlJc w:val="left"/>
      <w:pPr>
        <w:ind w:left="3960" w:hanging="358"/>
      </w:pPr>
    </w:lvl>
    <w:lvl w:ilvl="5">
      <w:start w:val="1"/>
      <w:numFmt w:val="lowerRoman"/>
      <w:suff w:val="tab"/>
      <w:lvlText w:val="%6."/>
      <w:lvlJc w:val="right"/>
      <w:pPr>
        <w:ind w:left="4680" w:hanging="178"/>
      </w:pPr>
    </w:lvl>
    <w:lvl w:ilvl="6">
      <w:start w:val="1"/>
      <w:numFmt w:val="decimal"/>
      <w:suff w:val="tab"/>
      <w:lvlText w:val="%7."/>
      <w:lvlJc w:val="left"/>
      <w:pPr>
        <w:ind w:left="5400" w:hanging="358"/>
      </w:pPr>
    </w:lvl>
    <w:lvl w:ilvl="7">
      <w:start w:val="1"/>
      <w:numFmt w:val="lowerLetter"/>
      <w:suff w:val="tab"/>
      <w:lvlText w:val="%8."/>
      <w:lvlJc w:val="left"/>
      <w:pPr>
        <w:ind w:left="6120" w:hanging="358"/>
      </w:pPr>
    </w:lvl>
    <w:lvl w:ilvl="8">
      <w:start w:val="1"/>
      <w:numFmt w:val="lowerRoman"/>
      <w:suff w:val="tab"/>
      <w:lvlText w:val="%9."/>
      <w:lvlJc w:val="right"/>
      <w:pPr>
        <w:ind w:left="6840" w:hanging="178"/>
      </w:pPr>
    </w:lvl>
  </w:abstractNum>
  <w:abstractNum w:abstractNumId="7">
    <w:multiLevelType w:val="hybridMultilevel"/>
    <w:lvl w:ilvl="0">
      <w:start w:val="1"/>
      <w:numFmt w:val="bullet"/>
      <w:suff w:val="tab"/>
      <w:lvlText w:val="-"/>
      <w:lvlJc w:val="left"/>
      <w:pPr>
        <w:ind w:left="720" w:hanging="357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suff w:val="tab"/>
      <w:lvlText w:val="o"/>
      <w:lvlJc w:val="left"/>
      <w:pPr>
        <w:ind w:left="1440" w:hanging="357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7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7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7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7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7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7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7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suff w:val="tab"/>
      <w:lvlText w:val="-"/>
      <w:lvlJc w:val="left"/>
      <w:pPr>
        <w:ind w:left="720" w:hanging="357"/>
      </w:pPr>
      <w:rPr>
        <w:rFonts w:ascii="Calibri" w:hAnsi="Calibri" w:cs="Times New Roman" w:eastAsia="Times New Roman" w:hint="default"/>
      </w:rPr>
    </w:lvl>
    <w:lvl w:ilvl="1">
      <w:start w:val="1"/>
      <w:numFmt w:val="non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9">
    <w:multiLevelType w:val="hybridMultilevel"/>
    <w:lvl w:ilvl="0">
      <w:start w:val="1"/>
      <w:numFmt w:val="bullet"/>
      <w:suff w:val="tab"/>
      <w:lvlText w:val="-"/>
      <w:lvlJc w:val="left"/>
      <w:pPr>
        <w:ind w:left="720" w:hanging="357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suff w:val="tab"/>
      <w:lvlText w:val="o"/>
      <w:lvlJc w:val="left"/>
      <w:pPr>
        <w:ind w:left="1440" w:hanging="357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7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7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7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7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7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7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7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846" w:hanging="357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566" w:hanging="357"/>
      </w:pPr>
    </w:lvl>
    <w:lvl w:ilvl="2">
      <w:start w:val="1"/>
      <w:numFmt w:val="lowerRoman"/>
      <w:suff w:val="tab"/>
      <w:lvlText w:val="%3."/>
      <w:lvlJc w:val="right"/>
      <w:pPr>
        <w:ind w:left="2286" w:hanging="177"/>
      </w:pPr>
    </w:lvl>
    <w:lvl w:ilvl="3">
      <w:start w:val="1"/>
      <w:numFmt w:val="decimal"/>
      <w:suff w:val="tab"/>
      <w:lvlText w:val="%4."/>
      <w:lvlJc w:val="left"/>
      <w:pPr>
        <w:ind w:left="3006" w:hanging="357"/>
      </w:pPr>
    </w:lvl>
    <w:lvl w:ilvl="4">
      <w:start w:val="1"/>
      <w:numFmt w:val="lowerLetter"/>
      <w:suff w:val="tab"/>
      <w:lvlText w:val="%5."/>
      <w:lvlJc w:val="left"/>
      <w:pPr>
        <w:ind w:left="3726" w:hanging="357"/>
      </w:pPr>
    </w:lvl>
    <w:lvl w:ilvl="5">
      <w:start w:val="1"/>
      <w:numFmt w:val="lowerRoman"/>
      <w:suff w:val="tab"/>
      <w:lvlText w:val="%6."/>
      <w:lvlJc w:val="right"/>
      <w:pPr>
        <w:ind w:left="4446" w:hanging="177"/>
      </w:pPr>
    </w:lvl>
    <w:lvl w:ilvl="6">
      <w:start w:val="1"/>
      <w:numFmt w:val="decimal"/>
      <w:suff w:val="tab"/>
      <w:lvlText w:val="%7."/>
      <w:lvlJc w:val="left"/>
      <w:pPr>
        <w:ind w:left="5166" w:hanging="357"/>
      </w:pPr>
    </w:lvl>
    <w:lvl w:ilvl="7">
      <w:start w:val="1"/>
      <w:numFmt w:val="lowerLetter"/>
      <w:suff w:val="tab"/>
      <w:lvlText w:val="%8."/>
      <w:lvlJc w:val="left"/>
      <w:pPr>
        <w:ind w:left="5886" w:hanging="357"/>
      </w:pPr>
    </w:lvl>
    <w:lvl w:ilvl="8">
      <w:start w:val="1"/>
      <w:numFmt w:val="lowerRoman"/>
      <w:suff w:val="tab"/>
      <w:lvlText w:val="%9."/>
      <w:lvlJc w:val="right"/>
      <w:pPr>
        <w:ind w:left="6606" w:hanging="177"/>
      </w:pPr>
    </w:lvl>
  </w:abstractNum>
  <w:abstractNum w:abstractNumId="11">
    <w:multiLevelType w:val="hybridMultilevel"/>
    <w:lvl w:ilvl="0">
      <w:start w:val="1"/>
      <w:numFmt w:val="bullet"/>
      <w:suff w:val="tab"/>
      <w:lvlText w:val=""/>
      <w:lvlJc w:val="left"/>
      <w:pPr>
        <w:ind w:left="502" w:hanging="357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364" w:hanging="357"/>
      </w:pPr>
      <w:rPr>
        <w:rFonts w:ascii="Courier New" w:hAnsi="Courier New" w:cs="Courier New" w:hint="default"/>
      </w:rPr>
    </w:lvl>
    <w:lvl w:ilvl="2">
      <w:start w:val="1"/>
      <w:numFmt w:val="decimal"/>
      <w:suff w:val="tab"/>
      <w:lvlText w:val="%3."/>
      <w:lvlJc w:val="left"/>
      <w:pPr>
        <w:ind w:left="2084" w:hanging="357"/>
        <w:tabs>
          <w:tab w:val="left" w:pos="2084" w:leader="none"/>
        </w:tabs>
      </w:pPr>
    </w:lvl>
    <w:lvl w:ilvl="3">
      <w:start w:val="1"/>
      <w:numFmt w:val="decimal"/>
      <w:suff w:val="tab"/>
      <w:lvlText w:val="%4."/>
      <w:lvlJc w:val="left"/>
      <w:pPr>
        <w:ind w:left="2804" w:hanging="357"/>
        <w:tabs>
          <w:tab w:val="left" w:pos="2804" w:leader="none"/>
        </w:tabs>
      </w:pPr>
    </w:lvl>
    <w:lvl w:ilvl="4">
      <w:start w:val="1"/>
      <w:numFmt w:val="decimal"/>
      <w:suff w:val="tab"/>
      <w:lvlText w:val="%5."/>
      <w:lvlJc w:val="left"/>
      <w:pPr>
        <w:ind w:left="3524" w:hanging="357"/>
        <w:tabs>
          <w:tab w:val="left" w:pos="3524" w:leader="none"/>
        </w:tabs>
      </w:pPr>
    </w:lvl>
    <w:lvl w:ilvl="5">
      <w:start w:val="1"/>
      <w:numFmt w:val="decimal"/>
      <w:suff w:val="tab"/>
      <w:lvlText w:val="%6."/>
      <w:lvlJc w:val="left"/>
      <w:pPr>
        <w:ind w:left="4244" w:hanging="357"/>
        <w:tabs>
          <w:tab w:val="left" w:pos="4244" w:leader="none"/>
        </w:tabs>
      </w:pPr>
    </w:lvl>
    <w:lvl w:ilvl="6">
      <w:start w:val="1"/>
      <w:numFmt w:val="decimal"/>
      <w:suff w:val="tab"/>
      <w:lvlText w:val="%7."/>
      <w:lvlJc w:val="left"/>
      <w:pPr>
        <w:ind w:left="4964" w:hanging="357"/>
        <w:tabs>
          <w:tab w:val="left" w:pos="4964" w:leader="none"/>
        </w:tabs>
      </w:pPr>
    </w:lvl>
    <w:lvl w:ilvl="7">
      <w:start w:val="1"/>
      <w:numFmt w:val="decimal"/>
      <w:suff w:val="tab"/>
      <w:lvlText w:val="%8."/>
      <w:lvlJc w:val="left"/>
      <w:pPr>
        <w:ind w:left="5684" w:hanging="357"/>
        <w:tabs>
          <w:tab w:val="left" w:pos="5684" w:leader="none"/>
        </w:tabs>
      </w:pPr>
    </w:lvl>
    <w:lvl w:ilvl="8">
      <w:start w:val="1"/>
      <w:numFmt w:val="decimal"/>
      <w:suff w:val="tab"/>
      <w:lvlText w:val="%9."/>
      <w:lvlJc w:val="left"/>
      <w:pPr>
        <w:ind w:left="6404" w:hanging="357"/>
        <w:tabs>
          <w:tab w:val="left" w:pos="6404" w:leader="none"/>
        </w:tabs>
      </w:pPr>
    </w:lvl>
  </w:abstractNum>
  <w:abstractNum w:abstractNumId="12">
    <w:multiLevelType w:val="hybridMultilevel"/>
    <w:lvl w:ilvl="0">
      <w:start w:val="1"/>
      <w:numFmt w:val="bullet"/>
      <w:suff w:val="tab"/>
      <w:lvlText w:val=""/>
      <w:lvlJc w:val="left"/>
      <w:pPr>
        <w:ind w:left="720" w:hanging="357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7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7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7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7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7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7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7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7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1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1"/>
  </w:num>
  <w:num w:numId="5">
    <w:abstractNumId w:val="4"/>
  </w:num>
  <w:num w:numId="6">
    <w:abstractNumId w:val="10"/>
  </w:num>
  <w:num w:numId="7">
    <w:abstractNumId w:val="2"/>
  </w:num>
  <w:num w:numId="8">
    <w:abstractNumId w:val="12"/>
  </w:num>
  <w:num w:numId="9">
    <w:abstractNumId w:val="0"/>
  </w:num>
  <w:num w:numId="10">
    <w:abstractNumId w:val="1"/>
  </w:num>
  <w:num w:numId="11">
    <w:abstractNumId w:val="9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2"/>
        <w:szCs w:val="22"/>
        <w:lang w:val="en-US" w:bidi="en-US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205">
    <w:name w:val="Footnote Text Char"/>
    <w:link w:val="248"/>
    <w:uiPriority w:val="99"/>
    <w:rPr>
      <w:sz w:val="18"/>
    </w:rPr>
  </w:style>
  <w:style w:type="paragraph" w:styleId="206" w:default="1">
    <w:name w:val="Normal"/>
    <w:qFormat/>
    <w:rPr>
      <w:sz w:val="24"/>
      <w:szCs w:val="24"/>
      <w:lang w:val="uk-UA"/>
    </w:rPr>
    <w:pPr>
      <w:spacing w:lineRule="auto" w:line="240" w:after="0"/>
    </w:pPr>
  </w:style>
  <w:style w:type="character" w:styleId="207" w:default="1">
    <w:name w:val="Default Paragraph Font"/>
    <w:uiPriority w:val="1"/>
    <w:semiHidden/>
    <w:unhideWhenUsed/>
  </w:style>
  <w:style w:type="table" w:styleId="20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09" w:default="1">
    <w:name w:val="No List"/>
    <w:uiPriority w:val="99"/>
    <w:semiHidden/>
    <w:unhideWhenUsed/>
  </w:style>
  <w:style w:type="character" w:styleId="210" w:customStyle="1">
    <w:name w:val="Heading 1 Char"/>
    <w:basedOn w:val="207"/>
    <w:link w:val="260"/>
    <w:uiPriority w:val="9"/>
    <w:rPr>
      <w:rFonts w:ascii="Arial" w:hAnsi="Arial" w:cs="Arial" w:eastAsia="Arial"/>
      <w:sz w:val="40"/>
      <w:szCs w:val="40"/>
    </w:rPr>
  </w:style>
  <w:style w:type="character" w:styleId="211" w:customStyle="1">
    <w:name w:val="Heading 2 Char"/>
    <w:basedOn w:val="207"/>
    <w:link w:val="261"/>
    <w:uiPriority w:val="9"/>
    <w:rPr>
      <w:rFonts w:ascii="Arial" w:hAnsi="Arial" w:cs="Arial" w:eastAsia="Arial"/>
      <w:sz w:val="34"/>
    </w:rPr>
  </w:style>
  <w:style w:type="character" w:styleId="212" w:customStyle="1">
    <w:name w:val="Heading 3 Char"/>
    <w:basedOn w:val="207"/>
    <w:link w:val="262"/>
    <w:uiPriority w:val="9"/>
    <w:rPr>
      <w:rFonts w:ascii="Arial" w:hAnsi="Arial" w:cs="Arial" w:eastAsia="Arial"/>
      <w:sz w:val="30"/>
      <w:szCs w:val="30"/>
    </w:rPr>
  </w:style>
  <w:style w:type="character" w:styleId="213" w:customStyle="1">
    <w:name w:val="Heading 4 Char"/>
    <w:basedOn w:val="207"/>
    <w:link w:val="263"/>
    <w:uiPriority w:val="9"/>
    <w:rPr>
      <w:rFonts w:ascii="Arial" w:hAnsi="Arial" w:cs="Arial" w:eastAsia="Arial"/>
      <w:b/>
      <w:bCs/>
      <w:sz w:val="26"/>
      <w:szCs w:val="26"/>
    </w:rPr>
  </w:style>
  <w:style w:type="character" w:styleId="214" w:customStyle="1">
    <w:name w:val="Heading 5 Char"/>
    <w:basedOn w:val="207"/>
    <w:link w:val="264"/>
    <w:uiPriority w:val="9"/>
    <w:rPr>
      <w:rFonts w:ascii="Arial" w:hAnsi="Arial" w:cs="Arial" w:eastAsia="Arial"/>
      <w:b/>
      <w:bCs/>
      <w:sz w:val="24"/>
      <w:szCs w:val="24"/>
    </w:rPr>
  </w:style>
  <w:style w:type="character" w:styleId="215" w:customStyle="1">
    <w:name w:val="Heading 6 Char"/>
    <w:basedOn w:val="207"/>
    <w:link w:val="265"/>
    <w:uiPriority w:val="9"/>
    <w:rPr>
      <w:rFonts w:ascii="Arial" w:hAnsi="Arial" w:cs="Arial" w:eastAsia="Arial"/>
      <w:b/>
      <w:bCs/>
      <w:sz w:val="22"/>
      <w:szCs w:val="22"/>
    </w:rPr>
  </w:style>
  <w:style w:type="character" w:styleId="216" w:customStyle="1">
    <w:name w:val="Heading 7 Char"/>
    <w:basedOn w:val="207"/>
    <w:link w:val="2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17" w:customStyle="1">
    <w:name w:val="Heading 8 Char"/>
    <w:basedOn w:val="207"/>
    <w:link w:val="267"/>
    <w:uiPriority w:val="9"/>
    <w:rPr>
      <w:rFonts w:ascii="Arial" w:hAnsi="Arial" w:cs="Arial" w:eastAsia="Arial"/>
      <w:i/>
      <w:iCs/>
      <w:sz w:val="22"/>
      <w:szCs w:val="22"/>
    </w:rPr>
  </w:style>
  <w:style w:type="character" w:styleId="218" w:customStyle="1">
    <w:name w:val="Heading 9 Char"/>
    <w:basedOn w:val="207"/>
    <w:link w:val="268"/>
    <w:uiPriority w:val="9"/>
    <w:rPr>
      <w:rFonts w:ascii="Arial" w:hAnsi="Arial" w:cs="Arial" w:eastAsia="Arial"/>
      <w:i/>
      <w:iCs/>
      <w:sz w:val="21"/>
      <w:szCs w:val="21"/>
    </w:rPr>
  </w:style>
  <w:style w:type="character" w:styleId="219" w:customStyle="1">
    <w:name w:val="Title Char"/>
    <w:basedOn w:val="207"/>
    <w:link w:val="278"/>
    <w:uiPriority w:val="10"/>
    <w:rPr>
      <w:sz w:val="48"/>
      <w:szCs w:val="48"/>
    </w:rPr>
  </w:style>
  <w:style w:type="character" w:styleId="220" w:customStyle="1">
    <w:name w:val="Subtitle Char"/>
    <w:basedOn w:val="207"/>
    <w:link w:val="280"/>
    <w:uiPriority w:val="11"/>
    <w:rPr>
      <w:sz w:val="24"/>
      <w:szCs w:val="24"/>
    </w:rPr>
  </w:style>
  <w:style w:type="character" w:styleId="221" w:customStyle="1">
    <w:name w:val="Quote Char"/>
    <w:link w:val="286"/>
    <w:uiPriority w:val="29"/>
    <w:rPr>
      <w:i/>
    </w:rPr>
  </w:style>
  <w:style w:type="character" w:styleId="222" w:customStyle="1">
    <w:name w:val="Intense Quote Char"/>
    <w:link w:val="288"/>
    <w:uiPriority w:val="30"/>
    <w:rPr>
      <w:i/>
    </w:rPr>
  </w:style>
  <w:style w:type="paragraph" w:styleId="223" w:customStyle="1">
    <w:name w:val="Header"/>
    <w:basedOn w:val="206"/>
    <w:link w:val="22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24" w:customStyle="1">
    <w:name w:val="Header Char"/>
    <w:basedOn w:val="207"/>
    <w:link w:val="223"/>
    <w:uiPriority w:val="99"/>
  </w:style>
  <w:style w:type="paragraph" w:styleId="225" w:customStyle="1">
    <w:name w:val="Footer"/>
    <w:basedOn w:val="206"/>
    <w:link w:val="22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26" w:customStyle="1">
    <w:name w:val="Footer Char"/>
    <w:basedOn w:val="207"/>
    <w:link w:val="225"/>
    <w:uiPriority w:val="99"/>
  </w:style>
  <w:style w:type="table" w:styleId="227" w:customStyle="1">
    <w:name w:val="Lined"/>
    <w:basedOn w:val="208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8" w:customStyle="1">
    <w:name w:val="Lined - Accent 1"/>
    <w:basedOn w:val="208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9" w:customStyle="1">
    <w:name w:val="Lined - Accent 2"/>
    <w:basedOn w:val="208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0" w:customStyle="1">
    <w:name w:val="Lined - Accent 3"/>
    <w:basedOn w:val="208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31" w:customStyle="1">
    <w:name w:val="Lined - Accent 4"/>
    <w:basedOn w:val="208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2" w:customStyle="1">
    <w:name w:val="Lined - Accent 5"/>
    <w:basedOn w:val="208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3" w:customStyle="1">
    <w:name w:val="Lined - Accent 6"/>
    <w:basedOn w:val="208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34" w:customStyle="1">
    <w:name w:val="Bordered"/>
    <w:basedOn w:val="2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35" w:customStyle="1">
    <w:name w:val="Bordered - Accent 1"/>
    <w:basedOn w:val="2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36" w:customStyle="1">
    <w:name w:val="Bordered - Accent 2"/>
    <w:basedOn w:val="2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37" w:customStyle="1">
    <w:name w:val="Bordered - Accent 3"/>
    <w:basedOn w:val="2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8" w:customStyle="1">
    <w:name w:val="Bordered - Accent 4"/>
    <w:basedOn w:val="2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9" w:customStyle="1">
    <w:name w:val="Bordered - Accent 5"/>
    <w:basedOn w:val="2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40" w:customStyle="1">
    <w:name w:val="Bordered - Accent 6"/>
    <w:basedOn w:val="2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41" w:customStyle="1">
    <w:name w:val="Bordered &amp; Lined"/>
    <w:basedOn w:val="208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42" w:customStyle="1">
    <w:name w:val="Bordered &amp; Lined - Accent 1"/>
    <w:basedOn w:val="208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43" w:customStyle="1">
    <w:name w:val="Bordered &amp; Lined - Accent 2"/>
    <w:basedOn w:val="208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4" w:customStyle="1">
    <w:name w:val="Bordered &amp; Lined - Accent 3"/>
    <w:basedOn w:val="208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45" w:customStyle="1">
    <w:name w:val="Bordered &amp; Lined - Accent 4"/>
    <w:basedOn w:val="208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6" w:customStyle="1">
    <w:name w:val="Bordered &amp; Lined - Accent 5"/>
    <w:basedOn w:val="208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7" w:customStyle="1">
    <w:name w:val="Bordered &amp; Lined - Accent 6"/>
    <w:basedOn w:val="208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248">
    <w:name w:val="footnote text"/>
    <w:basedOn w:val="206"/>
    <w:link w:val="249"/>
    <w:uiPriority w:val="99"/>
    <w:semiHidden/>
    <w:unhideWhenUsed/>
    <w:rPr>
      <w:sz w:val="18"/>
    </w:rPr>
    <w:pPr>
      <w:spacing w:after="40"/>
    </w:pPr>
  </w:style>
  <w:style w:type="character" w:styleId="249" w:customStyle="1">
    <w:name w:val="Текст сноски Знак"/>
    <w:link w:val="248"/>
    <w:uiPriority w:val="99"/>
    <w:rPr>
      <w:sz w:val="18"/>
    </w:rPr>
  </w:style>
  <w:style w:type="character" w:styleId="250">
    <w:name w:val="footnote reference"/>
    <w:basedOn w:val="207"/>
    <w:uiPriority w:val="99"/>
    <w:unhideWhenUsed/>
    <w:rPr>
      <w:vertAlign w:val="superscript"/>
    </w:rPr>
  </w:style>
  <w:style w:type="paragraph" w:styleId="251">
    <w:name w:val="toc 1"/>
    <w:basedOn w:val="206"/>
    <w:next w:val="206"/>
    <w:uiPriority w:val="39"/>
    <w:unhideWhenUsed/>
    <w:pPr>
      <w:spacing w:after="57"/>
    </w:pPr>
  </w:style>
  <w:style w:type="paragraph" w:styleId="252">
    <w:name w:val="toc 2"/>
    <w:basedOn w:val="206"/>
    <w:next w:val="206"/>
    <w:uiPriority w:val="39"/>
    <w:unhideWhenUsed/>
    <w:pPr>
      <w:ind w:left="283"/>
      <w:spacing w:after="57"/>
    </w:pPr>
  </w:style>
  <w:style w:type="paragraph" w:styleId="253">
    <w:name w:val="toc 3"/>
    <w:basedOn w:val="206"/>
    <w:next w:val="206"/>
    <w:uiPriority w:val="39"/>
    <w:unhideWhenUsed/>
    <w:pPr>
      <w:ind w:left="567"/>
      <w:spacing w:after="57"/>
    </w:pPr>
  </w:style>
  <w:style w:type="paragraph" w:styleId="254">
    <w:name w:val="toc 4"/>
    <w:basedOn w:val="206"/>
    <w:next w:val="206"/>
    <w:uiPriority w:val="39"/>
    <w:unhideWhenUsed/>
    <w:pPr>
      <w:ind w:left="850"/>
      <w:spacing w:after="57"/>
    </w:pPr>
  </w:style>
  <w:style w:type="paragraph" w:styleId="255">
    <w:name w:val="toc 5"/>
    <w:basedOn w:val="206"/>
    <w:next w:val="206"/>
    <w:uiPriority w:val="39"/>
    <w:unhideWhenUsed/>
    <w:pPr>
      <w:ind w:left="1134"/>
      <w:spacing w:after="57"/>
    </w:pPr>
  </w:style>
  <w:style w:type="paragraph" w:styleId="256">
    <w:name w:val="toc 6"/>
    <w:basedOn w:val="206"/>
    <w:next w:val="206"/>
    <w:uiPriority w:val="39"/>
    <w:unhideWhenUsed/>
    <w:pPr>
      <w:ind w:left="1417"/>
      <w:spacing w:after="57"/>
    </w:pPr>
  </w:style>
  <w:style w:type="paragraph" w:styleId="257">
    <w:name w:val="toc 7"/>
    <w:basedOn w:val="206"/>
    <w:next w:val="206"/>
    <w:uiPriority w:val="39"/>
    <w:unhideWhenUsed/>
    <w:pPr>
      <w:ind w:left="1701"/>
      <w:spacing w:after="57"/>
    </w:pPr>
  </w:style>
  <w:style w:type="paragraph" w:styleId="258">
    <w:name w:val="toc 8"/>
    <w:basedOn w:val="206"/>
    <w:next w:val="206"/>
    <w:uiPriority w:val="39"/>
    <w:unhideWhenUsed/>
    <w:pPr>
      <w:ind w:left="1984"/>
      <w:spacing w:after="57"/>
    </w:pPr>
  </w:style>
  <w:style w:type="paragraph" w:styleId="259">
    <w:name w:val="toc 9"/>
    <w:basedOn w:val="206"/>
    <w:next w:val="206"/>
    <w:uiPriority w:val="39"/>
    <w:unhideWhenUsed/>
    <w:pPr>
      <w:ind w:left="2268"/>
      <w:spacing w:after="57"/>
    </w:pPr>
  </w:style>
  <w:style w:type="paragraph" w:styleId="260" w:customStyle="1">
    <w:name w:val="Heading 1"/>
    <w:basedOn w:val="206"/>
    <w:next w:val="206"/>
    <w:link w:val="269"/>
    <w:qFormat/>
    <w:uiPriority w:val="9"/>
    <w:rPr>
      <w:rFonts w:ascii="Cambria" w:hAnsi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261" w:customStyle="1">
    <w:name w:val="Heading 2"/>
    <w:basedOn w:val="206"/>
    <w:next w:val="206"/>
    <w:link w:val="270"/>
    <w:qFormat/>
    <w:uiPriority w:val="9"/>
    <w:semiHidden/>
    <w:unhideWhenUsed/>
    <w:rPr>
      <w:rFonts w:ascii="Cambria" w:hAnsi="Cambria" w:eastAsia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262" w:customStyle="1">
    <w:name w:val="Heading 3"/>
    <w:basedOn w:val="206"/>
    <w:next w:val="206"/>
    <w:link w:val="271"/>
    <w:qFormat/>
    <w:uiPriority w:val="9"/>
    <w:semiHidden/>
    <w:unhideWhenUsed/>
    <w:rPr>
      <w:rFonts w:ascii="Cambria" w:hAnsi="Cambria" w:eastAsia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263" w:customStyle="1">
    <w:name w:val="Heading 4"/>
    <w:basedOn w:val="206"/>
    <w:next w:val="206"/>
    <w:link w:val="272"/>
    <w:qFormat/>
    <w:uiPriority w:val="9"/>
    <w:semiHidden/>
    <w:unhideWhenUsed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264" w:customStyle="1">
    <w:name w:val="Heading 5"/>
    <w:basedOn w:val="206"/>
    <w:next w:val="206"/>
    <w:link w:val="273"/>
    <w:qFormat/>
    <w:uiPriority w:val="9"/>
    <w:semiHidden/>
    <w:unhideWhenUsed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265" w:customStyle="1">
    <w:name w:val="Heading 6"/>
    <w:basedOn w:val="206"/>
    <w:next w:val="206"/>
    <w:link w:val="274"/>
    <w:qFormat/>
    <w:uiPriority w:val="9"/>
    <w:semiHidden/>
    <w:unhideWhenUsed/>
    <w:rPr>
      <w:b/>
      <w:bCs/>
      <w:sz w:val="22"/>
      <w:szCs w:val="22"/>
    </w:rPr>
    <w:pPr>
      <w:spacing w:after="60" w:before="240"/>
      <w:outlineLvl w:val="5"/>
    </w:pPr>
  </w:style>
  <w:style w:type="paragraph" w:styleId="266" w:customStyle="1">
    <w:name w:val="Heading 7"/>
    <w:basedOn w:val="206"/>
    <w:next w:val="206"/>
    <w:link w:val="275"/>
    <w:qFormat/>
    <w:uiPriority w:val="9"/>
    <w:semiHidden/>
    <w:unhideWhenUsed/>
    <w:pPr>
      <w:spacing w:after="60" w:before="240"/>
      <w:outlineLvl w:val="6"/>
    </w:pPr>
  </w:style>
  <w:style w:type="paragraph" w:styleId="267" w:customStyle="1">
    <w:name w:val="Heading 8"/>
    <w:basedOn w:val="206"/>
    <w:next w:val="206"/>
    <w:link w:val="276"/>
    <w:qFormat/>
    <w:uiPriority w:val="9"/>
    <w:semiHidden/>
    <w:unhideWhenUsed/>
    <w:rPr>
      <w:i/>
      <w:iCs/>
    </w:rPr>
    <w:pPr>
      <w:spacing w:after="60" w:before="240"/>
      <w:outlineLvl w:val="7"/>
    </w:pPr>
  </w:style>
  <w:style w:type="paragraph" w:styleId="268" w:customStyle="1">
    <w:name w:val="Heading 9"/>
    <w:basedOn w:val="206"/>
    <w:next w:val="206"/>
    <w:link w:val="277"/>
    <w:qFormat/>
    <w:uiPriority w:val="9"/>
    <w:semiHidden/>
    <w:unhideWhenUsed/>
    <w:rPr>
      <w:rFonts w:ascii="Cambria" w:hAnsi="Cambria" w:eastAsia="Cambria"/>
      <w:sz w:val="22"/>
      <w:szCs w:val="22"/>
    </w:rPr>
    <w:pPr>
      <w:spacing w:after="60" w:before="240"/>
      <w:outlineLvl w:val="8"/>
    </w:pPr>
  </w:style>
  <w:style w:type="character" w:styleId="269" w:customStyle="1">
    <w:name w:val="Заголовок 1 Знак"/>
    <w:basedOn w:val="207"/>
    <w:link w:val="260"/>
    <w:uiPriority w:val="9"/>
    <w:rPr>
      <w:rFonts w:ascii="Cambria" w:hAnsi="Cambria" w:eastAsia="Cambria"/>
      <w:b/>
      <w:bCs/>
      <w:sz w:val="32"/>
      <w:szCs w:val="32"/>
    </w:rPr>
  </w:style>
  <w:style w:type="character" w:styleId="270" w:customStyle="1">
    <w:name w:val="Заголовок 2 Знак"/>
    <w:basedOn w:val="207"/>
    <w:link w:val="261"/>
    <w:uiPriority w:val="9"/>
    <w:semiHidden/>
    <w:rPr>
      <w:rFonts w:ascii="Cambria" w:hAnsi="Cambria" w:eastAsia="Cambria"/>
      <w:b/>
      <w:bCs/>
      <w:i/>
      <w:iCs/>
      <w:sz w:val="28"/>
      <w:szCs w:val="28"/>
    </w:rPr>
  </w:style>
  <w:style w:type="character" w:styleId="271" w:customStyle="1">
    <w:name w:val="Заголовок 3 Знак"/>
    <w:basedOn w:val="207"/>
    <w:link w:val="262"/>
    <w:uiPriority w:val="9"/>
    <w:semiHidden/>
    <w:rPr>
      <w:rFonts w:ascii="Cambria" w:hAnsi="Cambria" w:eastAsia="Cambria"/>
      <w:b/>
      <w:bCs/>
      <w:sz w:val="26"/>
      <w:szCs w:val="26"/>
    </w:rPr>
  </w:style>
  <w:style w:type="character" w:styleId="272" w:customStyle="1">
    <w:name w:val="Заголовок 4 Знак"/>
    <w:basedOn w:val="207"/>
    <w:link w:val="263"/>
    <w:uiPriority w:val="9"/>
    <w:rPr>
      <w:b/>
      <w:bCs/>
      <w:sz w:val="28"/>
      <w:szCs w:val="28"/>
    </w:rPr>
  </w:style>
  <w:style w:type="character" w:styleId="273" w:customStyle="1">
    <w:name w:val="Заголовок 5 Знак"/>
    <w:basedOn w:val="207"/>
    <w:link w:val="264"/>
    <w:uiPriority w:val="9"/>
    <w:semiHidden/>
    <w:rPr>
      <w:b/>
      <w:bCs/>
      <w:i/>
      <w:iCs/>
      <w:sz w:val="26"/>
      <w:szCs w:val="26"/>
    </w:rPr>
  </w:style>
  <w:style w:type="character" w:styleId="274" w:customStyle="1">
    <w:name w:val="Заголовок 6 Знак"/>
    <w:basedOn w:val="207"/>
    <w:link w:val="265"/>
    <w:uiPriority w:val="9"/>
    <w:semiHidden/>
    <w:rPr>
      <w:b/>
      <w:bCs/>
    </w:rPr>
  </w:style>
  <w:style w:type="character" w:styleId="275" w:customStyle="1">
    <w:name w:val="Заголовок 7 Знак"/>
    <w:basedOn w:val="207"/>
    <w:link w:val="266"/>
    <w:uiPriority w:val="9"/>
    <w:semiHidden/>
    <w:rPr>
      <w:sz w:val="24"/>
      <w:szCs w:val="24"/>
    </w:rPr>
  </w:style>
  <w:style w:type="character" w:styleId="276" w:customStyle="1">
    <w:name w:val="Заголовок 8 Знак"/>
    <w:basedOn w:val="207"/>
    <w:link w:val="267"/>
    <w:uiPriority w:val="9"/>
    <w:semiHidden/>
    <w:rPr>
      <w:i/>
      <w:iCs/>
      <w:sz w:val="24"/>
      <w:szCs w:val="24"/>
    </w:rPr>
  </w:style>
  <w:style w:type="character" w:styleId="277" w:customStyle="1">
    <w:name w:val="Заголовок 9 Знак"/>
    <w:basedOn w:val="207"/>
    <w:link w:val="268"/>
    <w:uiPriority w:val="9"/>
    <w:semiHidden/>
    <w:rPr>
      <w:rFonts w:ascii="Cambria" w:hAnsi="Cambria" w:eastAsia="Cambria"/>
    </w:rPr>
  </w:style>
  <w:style w:type="paragraph" w:styleId="278">
    <w:name w:val="Title"/>
    <w:basedOn w:val="206"/>
    <w:next w:val="206"/>
    <w:link w:val="279"/>
    <w:qFormat/>
    <w:uiPriority w:val="10"/>
    <w:rPr>
      <w:rFonts w:ascii="Cambria" w:hAnsi="Cambria" w:eastAsia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279" w:customStyle="1">
    <w:name w:val="Название Знак"/>
    <w:basedOn w:val="207"/>
    <w:link w:val="278"/>
    <w:uiPriority w:val="10"/>
    <w:rPr>
      <w:rFonts w:ascii="Cambria" w:hAnsi="Cambria" w:eastAsia="Cambria"/>
      <w:b/>
      <w:bCs/>
      <w:sz w:val="32"/>
      <w:szCs w:val="32"/>
    </w:rPr>
  </w:style>
  <w:style w:type="paragraph" w:styleId="280">
    <w:name w:val="Subtitle"/>
    <w:basedOn w:val="206"/>
    <w:next w:val="206"/>
    <w:link w:val="281"/>
    <w:qFormat/>
    <w:uiPriority w:val="11"/>
    <w:rPr>
      <w:rFonts w:ascii="Cambria" w:hAnsi="Cambria" w:eastAsia="Cambria"/>
    </w:rPr>
    <w:pPr>
      <w:jc w:val="center"/>
      <w:spacing w:after="60"/>
      <w:outlineLvl w:val="1"/>
    </w:pPr>
  </w:style>
  <w:style w:type="character" w:styleId="281" w:customStyle="1">
    <w:name w:val="Подзаголовок Знак"/>
    <w:basedOn w:val="207"/>
    <w:link w:val="280"/>
    <w:uiPriority w:val="11"/>
    <w:rPr>
      <w:rFonts w:ascii="Cambria" w:hAnsi="Cambria" w:eastAsia="Cambria"/>
      <w:sz w:val="24"/>
      <w:szCs w:val="24"/>
    </w:rPr>
  </w:style>
  <w:style w:type="character" w:styleId="282">
    <w:name w:val="Strong"/>
    <w:basedOn w:val="207"/>
    <w:qFormat/>
    <w:uiPriority w:val="22"/>
    <w:rPr>
      <w:b/>
      <w:bCs/>
    </w:rPr>
  </w:style>
  <w:style w:type="character" w:styleId="283">
    <w:name w:val="Emphasis"/>
    <w:basedOn w:val="207"/>
    <w:qFormat/>
    <w:uiPriority w:val="20"/>
    <w:rPr>
      <w:rFonts w:ascii="Calibri" w:hAnsi="Calibri"/>
      <w:b/>
      <w:i/>
      <w:iCs/>
    </w:rPr>
  </w:style>
  <w:style w:type="paragraph" w:styleId="284">
    <w:name w:val="No Spacing"/>
    <w:basedOn w:val="206"/>
    <w:qFormat/>
    <w:uiPriority w:val="1"/>
    <w:rPr>
      <w:szCs w:val="32"/>
    </w:rPr>
  </w:style>
  <w:style w:type="paragraph" w:styleId="285">
    <w:name w:val="List Paragraph"/>
    <w:basedOn w:val="206"/>
    <w:qFormat/>
    <w:uiPriority w:val="34"/>
    <w:pPr>
      <w:contextualSpacing w:val="true"/>
      <w:ind w:left="720"/>
    </w:pPr>
  </w:style>
  <w:style w:type="paragraph" w:styleId="286">
    <w:name w:val="Quote"/>
    <w:basedOn w:val="206"/>
    <w:next w:val="206"/>
    <w:link w:val="287"/>
    <w:qFormat/>
    <w:uiPriority w:val="29"/>
    <w:rPr>
      <w:i/>
    </w:rPr>
  </w:style>
  <w:style w:type="character" w:styleId="287" w:customStyle="1">
    <w:name w:val="Цитата 2 Знак"/>
    <w:basedOn w:val="207"/>
    <w:link w:val="286"/>
    <w:uiPriority w:val="29"/>
    <w:rPr>
      <w:i/>
      <w:sz w:val="24"/>
      <w:szCs w:val="24"/>
    </w:rPr>
  </w:style>
  <w:style w:type="paragraph" w:styleId="288">
    <w:name w:val="Intense Quote"/>
    <w:basedOn w:val="206"/>
    <w:next w:val="206"/>
    <w:link w:val="289"/>
    <w:qFormat/>
    <w:uiPriority w:val="30"/>
    <w:rPr>
      <w:b/>
      <w:i/>
      <w:szCs w:val="22"/>
    </w:rPr>
    <w:pPr>
      <w:ind w:left="720" w:right="720"/>
    </w:pPr>
  </w:style>
  <w:style w:type="character" w:styleId="289" w:customStyle="1">
    <w:name w:val="Выделенная цитата Знак"/>
    <w:basedOn w:val="207"/>
    <w:link w:val="288"/>
    <w:uiPriority w:val="30"/>
    <w:rPr>
      <w:b/>
      <w:i/>
      <w:sz w:val="24"/>
    </w:rPr>
  </w:style>
  <w:style w:type="character" w:styleId="290">
    <w:name w:val="Subtle Emphasis"/>
    <w:qFormat/>
    <w:uiPriority w:val="19"/>
    <w:rPr>
      <w:i/>
      <w:color w:val="5A5A5A" w:themeColor="text1" w:themeTint="A5"/>
    </w:rPr>
  </w:style>
  <w:style w:type="character" w:styleId="291">
    <w:name w:val="Intense Emphasis"/>
    <w:basedOn w:val="207"/>
    <w:qFormat/>
    <w:uiPriority w:val="21"/>
    <w:rPr>
      <w:b/>
      <w:i/>
      <w:sz w:val="24"/>
      <w:szCs w:val="24"/>
      <w:u w:val="single"/>
    </w:rPr>
  </w:style>
  <w:style w:type="character" w:styleId="292">
    <w:name w:val="Subtle Reference"/>
    <w:basedOn w:val="207"/>
    <w:qFormat/>
    <w:uiPriority w:val="31"/>
    <w:rPr>
      <w:sz w:val="24"/>
      <w:szCs w:val="24"/>
      <w:u w:val="single"/>
    </w:rPr>
  </w:style>
  <w:style w:type="character" w:styleId="293">
    <w:name w:val="Intense Reference"/>
    <w:basedOn w:val="207"/>
    <w:qFormat/>
    <w:uiPriority w:val="32"/>
    <w:rPr>
      <w:b/>
      <w:sz w:val="24"/>
      <w:u w:val="single"/>
    </w:rPr>
  </w:style>
  <w:style w:type="character" w:styleId="294">
    <w:name w:val="Book Title"/>
    <w:basedOn w:val="207"/>
    <w:qFormat/>
    <w:uiPriority w:val="33"/>
    <w:rPr>
      <w:rFonts w:ascii="Cambria" w:hAnsi="Cambria" w:eastAsia="Cambria"/>
      <w:b/>
      <w:i/>
      <w:sz w:val="24"/>
      <w:szCs w:val="24"/>
    </w:rPr>
  </w:style>
  <w:style w:type="paragraph" w:styleId="295">
    <w:name w:val="TOC Heading"/>
    <w:basedOn w:val="260"/>
    <w:next w:val="206"/>
    <w:qFormat/>
    <w:uiPriority w:val="39"/>
    <w:semiHidden/>
    <w:unhideWhenUsed/>
    <w:pPr>
      <w:outlineLvl w:val="9"/>
    </w:pPr>
  </w:style>
  <w:style w:type="table" w:styleId="296">
    <w:name w:val="Table Grid"/>
    <w:basedOn w:val="2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297">
    <w:name w:val="HTML Preformatted"/>
    <w:basedOn w:val="206"/>
    <w:link w:val="298"/>
    <w:unhideWhenUsed/>
    <w:rPr>
      <w:rFonts w:ascii="Courier New" w:hAnsi="Courier New" w:cs="Courier New" w:eastAsia="Times New Roman"/>
      <w:sz w:val="20"/>
      <w:szCs w:val="20"/>
      <w:lang w:val="ru-RU" w:bidi="ar-SA" w:eastAsia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298" w:customStyle="1">
    <w:name w:val="Стандартный HTML Знак"/>
    <w:basedOn w:val="207"/>
    <w:link w:val="297"/>
    <w:rPr>
      <w:rFonts w:ascii="Courier New" w:hAnsi="Courier New" w:cs="Courier New" w:eastAsia="Times New Roman"/>
      <w:sz w:val="20"/>
      <w:szCs w:val="20"/>
      <w:lang w:val="ru-RU" w:bidi="ar-SA" w:eastAsia="ru-RU"/>
    </w:rPr>
  </w:style>
  <w:style w:type="character" w:styleId="299">
    <w:name w:val="Hyperlink"/>
    <w:basedOn w:val="207"/>
    <w:uiPriority w:val="99"/>
    <w:semiHidden/>
    <w:unhideWhenUsed/>
    <w:rPr>
      <w:color w:val="0000FF"/>
      <w:u w:val="single"/>
    </w:rPr>
  </w:style>
  <w:style w:type="paragraph" w:styleId="300">
    <w:name w:val="Balloon Text"/>
    <w:basedOn w:val="206"/>
    <w:link w:val="301"/>
    <w:uiPriority w:val="99"/>
    <w:semiHidden/>
    <w:unhideWhenUsed/>
    <w:rPr>
      <w:rFonts w:ascii="Tahoma" w:hAnsi="Tahoma" w:cs="Tahoma"/>
      <w:sz w:val="16"/>
      <w:szCs w:val="16"/>
    </w:rPr>
  </w:style>
  <w:style w:type="character" w:styleId="301" w:customStyle="1">
    <w:name w:val="Текст выноски Знак"/>
    <w:basedOn w:val="207"/>
    <w:link w:val="300"/>
    <w:uiPriority w:val="99"/>
    <w:semiHidden/>
    <w:rPr>
      <w:rFonts w:ascii="Tahoma" w:hAnsi="Tahoma" w:cs="Tahoma"/>
      <w:sz w:val="16"/>
      <w:szCs w:val="16"/>
    </w:rPr>
  </w:style>
  <w:style w:type="paragraph" w:styleId="302">
    <w:name w:val="Normal (Web)"/>
    <w:basedOn w:val="206"/>
    <w:uiPriority w:val="99"/>
    <w:semiHidden/>
    <w:unhideWhenUsed/>
    <w:rPr>
      <w:rFonts w:ascii="Times New Roman" w:hAnsi="Times New Roman" w:eastAsia="Times New Roman"/>
      <w:lang w:val="ru-RU" w:bidi="ar-SA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Relationship Id="rId9" Type="http://schemas.openxmlformats.org/officeDocument/2006/relationships/hyperlink" Target="http://ukrainka.org/wp-content/uploads/2019/03/Dodatok-1-Zayavka.doc" TargetMode="External"/><Relationship Id="rId10" Type="http://schemas.openxmlformats.org/officeDocument/2006/relationships/hyperlink" Target="http://ukrainka.org/wp-content/uploads/2019/03/Dodatok-2-Aplikatsijna-forma.doc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