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 РАДА</w:t>
      </w:r>
      <w:r>
        <w:rPr>
          <w:sz w:val="28"/>
        </w:rPr>
      </w:r>
    </w:p>
    <w:p>
      <w:pPr>
        <w:pStyle w:val="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714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right="5384"/>
        <w:jc w:val="both"/>
        <w:spacing w:after="170" w:afterAutospacing="0" w:before="17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(городи)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Лупинос О.А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площею0,50 га. у межах с. Феські</w:t>
      </w:r>
      <w:r>
        <w:rPr>
          <w:rFonts w:ascii="Times New Roman" w:hAnsi="Times New Roman"/>
          <w:sz w:val="28"/>
          <w:szCs w:val="28"/>
          <w:lang w:val="uk-UA"/>
        </w:rPr>
        <w:t xml:space="preserve">вка,</w:t>
      </w:r>
      <w:r>
        <w:rPr>
          <w:rFonts w:ascii="Times New Roman" w:hAnsi="Times New Roman"/>
          <w:sz w:val="28"/>
          <w:szCs w:val="28"/>
          <w:lang w:val="uk-UA"/>
        </w:rPr>
        <w:t xml:space="preserve"> Підласої В.В.,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0,75 га. у межах с. Столь</w:t>
      </w:r>
      <w:r>
        <w:rPr>
          <w:rFonts w:ascii="Times New Roman" w:hAnsi="Times New Roman"/>
          <w:sz w:val="28"/>
          <w:szCs w:val="28"/>
          <w:lang w:val="uk-UA"/>
        </w:rPr>
        <w:t xml:space="preserve">не,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Хаценка А.Ю.,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 у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Калюжного А .І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0,56 га. у межах с. Куковичі,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Головач П.В.,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0,50 га. у межах с. 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 га. у межах с. Вел</w:t>
      </w:r>
      <w:r>
        <w:rPr>
          <w:rFonts w:ascii="Times New Roman" w:hAnsi="Times New Roman"/>
          <w:sz w:val="28"/>
          <w:szCs w:val="28"/>
          <w:lang w:val="uk-UA"/>
        </w:rPr>
        <w:t xml:space="preserve">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Погорілко А.М., площею 2,00 га.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с. Синявка, Сивенко Л.М., площею 1,00 га. в межах с. Синявка, Демидок І.М., площею 0,57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Анісіної Н.М., площею 0,60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Анісіної Н.М., площею 0,60 га. в межах с. Синявка, </w:t>
      </w:r>
      <w:r>
        <w:rPr>
          <w:rFonts w:ascii="Times New Roman" w:hAnsi="Times New Roman"/>
          <w:sz w:val="28"/>
          <w:szCs w:val="28"/>
          <w:lang w:val="uk-UA"/>
        </w:rPr>
        <w:t xml:space="preserve">Іванов</w:t>
      </w:r>
      <w:r>
        <w:rPr>
          <w:rFonts w:ascii="Times New Roman" w:hAnsi="Times New Roman"/>
          <w:sz w:val="28"/>
          <w:szCs w:val="28"/>
          <w:lang w:val="uk-UA"/>
        </w:rPr>
        <w:t xml:space="preserve"> С.О., площею 1,65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Іванова О.В., площею 0,50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Грищенко М.К., площею 0,30 га. в межах с. Величківка,</w:t>
      </w:r>
      <w:r>
        <w:rPr>
          <w:rFonts w:ascii="Times New Roman" w:hAnsi="Times New Roman"/>
          <w:sz w:val="28"/>
          <w:szCs w:val="28"/>
          <w:lang w:val="uk-UA"/>
        </w:rPr>
        <w:t xml:space="preserve"> Грищенко В.Н., площею 0,40 га. в межах с. Величківка,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Дубровна Т.Ю., площею 1,20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Марухно Н.Г., площею 0,40 га. в межах с. Величківка,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Супрун В.І.,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1,00 га. в межах смт. 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Макошине,</w:t>
      </w:r>
      <w:r>
        <w:rPr>
          <w:rFonts w:ascii="Times New Roman" w:hAnsi="Times New Roman"/>
          <w:sz w:val="28"/>
          <w:szCs w:val="28"/>
          <w:lang w:val="uk-UA"/>
        </w:rPr>
        <w:t xml:space="preserve"> Ілляшенко Н.І., площею 1,50 га. за межами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Ткаченко Л.О., площею 0,90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Стальмакова А.Є., площею 0,86 га. в межах с. Синявка,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Василенко О.А., площею 0,85 га. в межах с. Синявка, Скопич А.П.,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  <w:lang w:val="uk-UA"/>
        </w:rPr>
        <w:t xml:space="preserve"> га. в межах с. Синявка, </w:t>
      </w:r>
      <w:r>
        <w:rPr>
          <w:rFonts w:ascii="Times New Roman" w:hAnsi="Times New Roman"/>
          <w:sz w:val="28"/>
          <w:szCs w:val="28"/>
          <w:lang w:val="uk-UA"/>
        </w:rPr>
        <w:t xml:space="preserve">Наливайко Н.І., площею 0,90 га. в межах с. Синявка, </w:t>
      </w:r>
      <w:r>
        <w:rPr>
          <w:rFonts w:ascii="Times New Roman" w:hAnsi="Times New Roman"/>
          <w:sz w:val="28"/>
          <w:szCs w:val="28"/>
          <w:lang w:val="uk-UA"/>
        </w:rPr>
        <w:t xml:space="preserve">Левенець О.В., площею 2,00 га. в межах с. Синявка, Левенець Н.О., площею 0,55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Дей Наталії Іванівні, площею 1,36 га. в межах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Михеєнко О.А., площею 0,33 га. в межах с. Величківка, </w:t>
      </w:r>
      <w:r>
        <w:rPr>
          <w:rFonts w:ascii="Times New Roman" w:hAnsi="Times New Roman"/>
          <w:sz w:val="28"/>
          <w:szCs w:val="28"/>
          <w:lang w:val="uk-UA"/>
        </w:rPr>
        <w:t xml:space="preserve">Прядко В.М., площею 1,00 га. в межах с. Дягова, Москаленко С.І., площею 0,60 га. в межах с. Садове,</w:t>
      </w:r>
      <w:r>
        <w:rPr>
          <w:rFonts w:ascii="Times New Roman" w:hAnsi="Times New Roman"/>
          <w:sz w:val="28"/>
          <w:szCs w:val="28"/>
          <w:lang w:val="uk-UA"/>
        </w:rPr>
        <w:t xml:space="preserve"> Хрущ О.В., площею 2,00 га. за межами с. Куковичі,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Шестак Т.М., площею 0,8064 га. в межах с. Дягова, </w:t>
      </w:r>
      <w:r>
        <w:rPr>
          <w:rFonts w:ascii="Times New Roman" w:hAnsi="Times New Roman"/>
          <w:sz w:val="28"/>
          <w:szCs w:val="28"/>
          <w:lang w:val="uk-UA"/>
        </w:rPr>
        <w:t xml:space="preserve">Соломаха А.О., площею 1,40 га. за межами с. Синявка,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Семироз О.М., площею 1,00 га. за межами с. Стольне,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Максимець В.А., площею 1,79 га. за межами с. Семенівка, </w:t>
      </w:r>
      <w:r>
        <w:rPr>
          <w:rFonts w:ascii="Times New Roman" w:hAnsi="Times New Roman"/>
          <w:sz w:val="28"/>
          <w:szCs w:val="28"/>
          <w:lang w:val="uk-UA"/>
        </w:rPr>
        <w:t xml:space="preserve">Козир Н.М., площею 0,35 га. за межами с. Блистова,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  <w:tab/>
        <w:t xml:space="preserve">Надати дозволи на розроблення проектів землеустрою щодо відведення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</w:t>
      </w:r>
      <w:r>
        <w:rPr>
          <w:rFonts w:ascii="Times New Roman" w:hAnsi="Times New Roman"/>
          <w:sz w:val="28"/>
          <w:szCs w:val="28"/>
        </w:rPr>
        <w:t xml:space="preserve">по наданню у приватну власність для ведення особистого селянського господарства;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Лупинос Ользі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Підласа Валентині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0,75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Хаценка Андрія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 га. ,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Калюжного Анатолія Івановича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56</w:t>
      </w:r>
      <w:r>
        <w:rPr>
          <w:rFonts w:ascii="Times New Roman" w:hAnsi="Times New Roman"/>
          <w:sz w:val="28"/>
          <w:szCs w:val="28"/>
        </w:rPr>
        <w:t xml:space="preserve"> га. ,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Головач Поліні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га. ,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Козир Ніна Микитівна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</w:rPr>
        <w:t xml:space="preserve"> га. ,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Погорілко Анатолію Миколайовичу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Сивенко Людмилі Михайлівні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1,00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Демидок Івану Михайловичу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0,57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Анісіній Нелі Миколаївні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Іванову Сергію Олександровичу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1,65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Івановій Ользі Володимирівні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0,50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Грищенку Миколі Костянтиновичу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0,30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Валентині Н</w:t>
      </w:r>
      <w:r>
        <w:rPr>
          <w:rFonts w:ascii="Times New Roman" w:hAnsi="Times New Roman"/>
          <w:sz w:val="28"/>
          <w:szCs w:val="28"/>
          <w:lang w:val="uk-UA"/>
        </w:rPr>
        <w:t xml:space="preserve">икифорівні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0,30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Дубровній Тетяні Юріївні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Марухно Нелі Геннадіївні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0,40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Супрун Володимиру Івановичу у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1,00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Ілляшенко Ніні Іванівні за межами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1,50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Ткаченко Людмилі Олександрівні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Стальмакова Альона Євгеніївна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0,86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Василенко Олександр Анатолійович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0,85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Скопич Аллі Петрівні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Наливайко Наталії Іванівні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0,90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Левенцю Олександру Володимировичу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Левенць Наталії Олексіївні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0,55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Дей Наталії Іванівні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1,36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Михеєнку Олегу Анатолійовичу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0,33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Прядко Вячеслав Миколайович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Москаленко Сергій Іванович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0,60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Хрущ Олені Василівні за межами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Шестак Тамарі Михайлівні в межах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0,8064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Соломасі Андрію Олександровичу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880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</w:rPr>
        <w:t xml:space="preserve">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0687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1,40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Семироз Олександру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</w:t>
      </w:r>
      <w:r>
        <w:rPr>
          <w:rFonts w:ascii="Times New Roman" w:hAnsi="Times New Roman"/>
          <w:sz w:val="28"/>
          <w:szCs w:val="28"/>
        </w:rPr>
        <w:t xml:space="preserve">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</w:t>
      </w:r>
      <w:r>
        <w:rPr>
          <w:rFonts w:ascii="Times New Roman" w:hAnsi="Times New Roman"/>
          <w:bCs/>
          <w:sz w:val="28"/>
          <w:szCs w:val="28"/>
        </w:rPr>
        <w:t xml:space="preserve">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0671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 га. ,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Максимець Вікторії Анатоліївні </w:t>
      </w:r>
      <w:r>
        <w:rPr>
          <w:rFonts w:ascii="Times New Roman" w:hAnsi="Times New Roman"/>
          <w:sz w:val="28"/>
          <w:szCs w:val="28"/>
        </w:rPr>
        <w:t xml:space="preserve">за межами с. 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876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0548</w:t>
      </w:r>
      <w:r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 xml:space="preserve">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1,79</w:t>
      </w:r>
      <w:r>
        <w:rPr>
          <w:rFonts w:ascii="Times New Roman" w:hAnsi="Times New Roman"/>
          <w:sz w:val="28"/>
          <w:szCs w:val="28"/>
        </w:rPr>
        <w:t xml:space="preserve"> га. ,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  <w:tab/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  <w:r>
        <w:rPr>
          <w:rFonts w:ascii="Times New Roman" w:hAnsi="Times New Roman"/>
          <w:sz w:val="28"/>
        </w:rPr>
      </w:r>
    </w:p>
    <w:p>
      <w:pPr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</w:p>
    <w:p>
      <w:pPr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  <w:tab/>
        <w:t xml:space="preserve">Контроль за виконанням покласти на заступника міського голови з пит</w:t>
      </w:r>
      <w:r>
        <w:rPr>
          <w:rFonts w:ascii="Times New Roman" w:hAnsi="Times New Roman"/>
          <w:sz w:val="28"/>
          <w:szCs w:val="28"/>
        </w:rPr>
        <w:t xml:space="preserve">ань діяльності виконкому Гайдукевича М.В.</w:t>
      </w:r>
      <w:r>
        <w:rPr>
          <w:sz w:val="28"/>
        </w:rPr>
      </w:r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  <w:t xml:space="preserve">Г.А.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Примаков</w:t>
      </w:r>
      <w:r>
        <w:rPr>
          <w:sz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/>
      <w:pgMar w:top="851" w:right="709" w:bottom="963" w:left="1417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6"/>
    <w:uiPriority w:val="10"/>
    <w:rPr>
      <w:sz w:val="48"/>
      <w:szCs w:val="48"/>
    </w:rPr>
  </w:style>
  <w:style w:type="character" w:styleId="35">
    <w:name w:val="Subtitle Char"/>
    <w:basedOn w:val="192"/>
    <w:link w:val="208"/>
    <w:uiPriority w:val="11"/>
    <w:rPr>
      <w:sz w:val="24"/>
      <w:szCs w:val="24"/>
    </w:rPr>
  </w:style>
  <w:style w:type="character" w:styleId="37">
    <w:name w:val="Quote Char"/>
    <w:link w:val="210"/>
    <w:uiPriority w:val="29"/>
    <w:rPr>
      <w:i/>
    </w:rPr>
  </w:style>
  <w:style w:type="character" w:styleId="39">
    <w:name w:val="Intense Quote Char"/>
    <w:link w:val="212"/>
    <w:uiPriority w:val="30"/>
    <w:rPr>
      <w:i/>
    </w:rPr>
  </w:style>
  <w:style w:type="character" w:styleId="41">
    <w:name w:val="Header Char"/>
    <w:basedOn w:val="192"/>
    <w:link w:val="214"/>
    <w:uiPriority w:val="99"/>
  </w:style>
  <w:style w:type="character" w:styleId="43">
    <w:name w:val="Footer Char"/>
    <w:basedOn w:val="192"/>
    <w:link w:val="216"/>
    <w:uiPriority w:val="99"/>
  </w:style>
  <w:style w:type="character" w:styleId="68">
    <w:name w:val="Footnote Text Char"/>
    <w:link w:val="241"/>
    <w:uiPriority w:val="99"/>
    <w:rPr>
      <w:sz w:val="18"/>
    </w:rPr>
  </w:style>
  <w:style w:type="paragraph" w:styleId="182" w:default="1">
    <w:name w:val="Normal"/>
    <w:qFormat/>
  </w:style>
  <w:style w:type="paragraph" w:styleId="183">
    <w:name w:val="Heading 1"/>
    <w:basedOn w:val="182"/>
    <w:next w:val="182"/>
    <w:link w:val="255"/>
    <w:rPr>
      <w:b/>
      <w:sz w:val="32"/>
    </w:rPr>
    <w:pPr>
      <w:jc w:val="center"/>
      <w:keepNext/>
      <w:outlineLvl w:val="0"/>
    </w:pPr>
  </w:style>
  <w:style w:type="paragraph" w:styleId="184">
    <w:name w:val="Heading 2"/>
    <w:link w:val="1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5">
    <w:name w:val="Heading 3"/>
    <w:link w:val="1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6">
    <w:name w:val="Heading 4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7">
    <w:name w:val="Heading 5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8">
    <w:name w:val="Heading 6"/>
    <w:link w:val="2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9">
    <w:name w:val="Heading 7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0">
    <w:name w:val="Heading 8"/>
    <w:link w:val="2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1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6" w:customStyle="1">
    <w:name w:val="Заголовок 2 Знак"/>
    <w:link w:val="184"/>
    <w:uiPriority w:val="9"/>
    <w:rPr>
      <w:rFonts w:ascii="Arial" w:hAnsi="Arial" w:cs="Arial" w:eastAsia="Arial"/>
      <w:sz w:val="34"/>
    </w:rPr>
  </w:style>
  <w:style w:type="character" w:styleId="197" w:customStyle="1">
    <w:name w:val="Заголовок 3 Знак"/>
    <w:link w:val="185"/>
    <w:uiPriority w:val="9"/>
    <w:rPr>
      <w:rFonts w:ascii="Arial" w:hAnsi="Arial" w:cs="Arial" w:eastAsia="Arial"/>
      <w:sz w:val="30"/>
      <w:szCs w:val="30"/>
    </w:rPr>
  </w:style>
  <w:style w:type="character" w:styleId="198" w:customStyle="1">
    <w:name w:val="Заголовок 4 Знак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199" w:customStyle="1">
    <w:name w:val="Заголовок 5 Знак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00" w:customStyle="1">
    <w:name w:val="Заголовок 6 Знак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01" w:customStyle="1">
    <w:name w:val="Заголовок 7 Знак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2" w:customStyle="1">
    <w:name w:val="Заголовок 8 Знак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03" w:customStyle="1">
    <w:name w:val="Заголовок 9 Знак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basedOn w:val="182"/>
    <w:rPr>
      <w:sz w:val="22"/>
      <w:lang w:eastAsia="ar-SA"/>
    </w:rPr>
    <w:pPr>
      <w:contextualSpacing w:val="true"/>
      <w:ind w:left="720"/>
    </w:pPr>
  </w:style>
  <w:style w:type="paragraph" w:styleId="205">
    <w:name w:val="No Spacing"/>
    <w:qFormat/>
    <w:uiPriority w:val="1"/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 w:customStyle="1">
    <w:name w:val="Заголовок Знак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 w:customStyle="1">
    <w:name w:val="Подзаголовок Знак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 w:customStyle="1">
    <w:name w:val="Цитата 2 Знак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 w:customStyle="1">
    <w:name w:val="Выделенная цитата Знак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Верхний колонтитул Знак"/>
    <w:link w:val="214"/>
    <w:uiPriority w:val="99"/>
  </w:style>
  <w:style w:type="paragraph" w:styleId="216">
    <w:name w:val="Footer"/>
    <w:link w:val="2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7" w:customStyle="1">
    <w:name w:val="Нижний колонтитул Знак"/>
    <w:link w:val="216"/>
    <w:uiPriority w:val="99"/>
  </w:style>
  <w:style w:type="table" w:styleId="2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after="40"/>
    </w:pPr>
  </w:style>
  <w:style w:type="character" w:styleId="242" w:customStyle="1">
    <w:name w:val="Текст сноски Знак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spacing w:after="57"/>
    </w:pPr>
  </w:style>
  <w:style w:type="paragraph" w:styleId="245">
    <w:name w:val="toc 2"/>
    <w:uiPriority w:val="39"/>
    <w:unhideWhenUsed/>
    <w:pPr>
      <w:ind w:left="283"/>
      <w:spacing w:after="57"/>
    </w:pPr>
  </w:style>
  <w:style w:type="paragraph" w:styleId="246">
    <w:name w:val="toc 3"/>
    <w:uiPriority w:val="39"/>
    <w:unhideWhenUsed/>
    <w:pPr>
      <w:ind w:left="567"/>
      <w:spacing w:after="57"/>
    </w:pPr>
  </w:style>
  <w:style w:type="paragraph" w:styleId="247">
    <w:name w:val="toc 4"/>
    <w:uiPriority w:val="39"/>
    <w:unhideWhenUsed/>
    <w:pPr>
      <w:ind w:left="850"/>
      <w:spacing w:after="57"/>
    </w:pPr>
  </w:style>
  <w:style w:type="paragraph" w:styleId="248">
    <w:name w:val="toc 5"/>
    <w:uiPriority w:val="39"/>
    <w:unhideWhenUsed/>
    <w:pPr>
      <w:ind w:left="1134"/>
      <w:spacing w:after="57"/>
    </w:pPr>
  </w:style>
  <w:style w:type="paragraph" w:styleId="249">
    <w:name w:val="toc 6"/>
    <w:uiPriority w:val="39"/>
    <w:unhideWhenUsed/>
    <w:pPr>
      <w:ind w:left="1417"/>
      <w:spacing w:after="57"/>
    </w:pPr>
  </w:style>
  <w:style w:type="paragraph" w:styleId="250">
    <w:name w:val="toc 7"/>
    <w:uiPriority w:val="39"/>
    <w:unhideWhenUsed/>
    <w:pPr>
      <w:ind w:left="1701"/>
      <w:spacing w:after="57"/>
    </w:pPr>
  </w:style>
  <w:style w:type="paragraph" w:styleId="251">
    <w:name w:val="toc 8"/>
    <w:uiPriority w:val="39"/>
    <w:unhideWhenUsed/>
    <w:pPr>
      <w:ind w:left="1984"/>
      <w:spacing w:after="57"/>
    </w:pPr>
  </w:style>
  <w:style w:type="paragraph" w:styleId="252">
    <w:name w:val="toc 9"/>
    <w:uiPriority w:val="39"/>
    <w:unhideWhenUsed/>
    <w:pPr>
      <w:ind w:left="2268"/>
      <w:spacing w:after="57"/>
    </w:pPr>
  </w:style>
  <w:style w:type="paragraph" w:styleId="253">
    <w:name w:val="TOC Heading"/>
    <w:uiPriority w:val="39"/>
    <w:unhideWhenUsed/>
  </w:style>
  <w:style w:type="paragraph" w:styleId="254">
    <w:name w:val="HTML Preformatted"/>
    <w:basedOn w:val="182"/>
    <w:link w:val="25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5" w:customStyle="1">
    <w:name w:val="Заголовок 1 Знак"/>
    <w:link w:val="18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256" w:customStyle="1">
    <w:name w:val="rvts23"/>
  </w:style>
  <w:style w:type="character" w:styleId="257" w:customStyle="1">
    <w:name w:val="Стандартный HTML Знак"/>
    <w:link w:val="254"/>
    <w:rPr>
      <w:rFonts w:ascii="Courier New" w:hAnsi="Courier New" w:eastAsia="Times New Roman"/>
    </w:rPr>
  </w:style>
  <w:style w:type="paragraph" w:styleId="258" w:customStyle="1">
    <w:name w:val="Титулка"/>
    <w:basedOn w:val="18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