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eastAsia="Droid Sans"/>
          <w:b/>
          <w:sz w:val="28"/>
          <w:szCs w:val="28"/>
          <w:lang w:val="uk-UA" w:bidi="hi-IN" w:eastAsia="hi-IN"/>
        </w:rPr>
        <w:t xml:space="preserve">(тридцять шоста сесія сьомого скликання)</w:t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53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26 грудня  2019 року</w:t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№665</w:t>
      </w:r>
      <w:r/>
    </w:p>
    <w:p>
      <w:pPr>
        <w:pStyle w:val="183"/>
        <w:ind w:right="5385"/>
        <w:spacing w:lineRule="auto" w:line="240" w:after="0" w:afterAutospacing="0" w:before="0" w:beforeAutospacing="0"/>
        <w:rPr>
          <w:rFonts w:ascii="Times New Roman" w:hAnsi="Times New Roman" w:cs="Times New Roman" w:eastAsia="Droid Sans"/>
          <w:color w:val="auto"/>
          <w:lang w:val="uk-UA"/>
        </w:rPr>
      </w:pPr>
      <w:r>
        <w:rPr>
          <w:rFonts w:ascii="Times New Roman" w:hAnsi="Times New Roman" w:cs="Times New Roman" w:eastAsia="Droid Sans"/>
          <w:color w:val="auto"/>
          <w:lang w:val="uk-UA"/>
        </w:rPr>
        <w:t xml:space="preserve"> </w:t>
      </w:r>
      <w:r/>
    </w:p>
    <w:p>
      <w:pPr>
        <w:ind w:left="0" w:right="4961" w:hanging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Про затвердження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Програми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розвитку комунального підприємства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» Менської міської ради на 2020-2022 роки</w:t>
      </w:r>
      <w:r/>
    </w:p>
    <w:p>
      <w:pPr>
        <w:ind w:left="0" w:right="4961" w:hanging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ab/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Керуючись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пунктом 22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статті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26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Закону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України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«Про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міс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цеве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самоврядування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в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Україні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Менська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міська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рада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ВИРІШИ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ЛА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:</w:t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1.</w:t>
      </w:r>
      <w:r>
        <w:rPr>
          <w:rFonts w:ascii="Times New Roman" w:hAnsi="Times New Roman" w:eastAsia="Droid Sans"/>
          <w:sz w:val="28"/>
          <w:szCs w:val="28"/>
          <w:lang w:val="uk-UA" w:bidi="hi-IN" w:eastAsia="hi-IN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Програму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розвитку комунального підприємства «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» Менської міської ради на 2020-2022 роки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додатку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даного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додається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tabs>
          <w:tab w:val="left" w:pos="6946" w:leader="none"/>
        </w:tabs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Droid Sans"/>
          <w:sz w:val="28"/>
          <w:szCs w:val="28"/>
          <w:lang w:val="uk-UA" w:bidi="hi-IN" w:eastAsia="hi-IN"/>
        </w:rPr>
        <w:t xml:space="preserve">2.Фінансовому управлінню Менської міської ради під час формування проекту бюджету Менської міської об’єднаної територіальної громади передбачити асигнування на фінансування Програми.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3.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Контроль за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виконанням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цього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покласти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на заступника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міського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голови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з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питань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діяльності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виконкому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ради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Гайдукевича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В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. </w:t>
      </w:r>
      <w:r/>
    </w:p>
    <w:p>
      <w:pPr>
        <w:jc w:val="both"/>
        <w:spacing w:lineRule="auto" w:line="240" w:after="0" w:afterAutospacing="0" w:before="0" w:beforeAutospacing="0"/>
        <w:rPr>
          <w:szCs w:val="28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 w:afterAutospacing="0" w:before="0" w:beforeAutospacing="0"/>
        <w:rPr>
          <w:szCs w:val="28"/>
        </w:rPr>
      </w:pPr>
      <w:r/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Droid Sans"/>
          <w:sz w:val="28"/>
          <w:szCs w:val="28"/>
          <w:lang w:bidi="hi-IN" w:eastAsia="hi-IN"/>
        </w:rPr>
      </w:pPr>
      <w:r/>
      <w:r/>
    </w:p>
    <w:p>
      <w:pPr>
        <w:spacing w:lineRule="auto" w:line="240" w:after="0" w:afterAutospacing="0" w:before="0" w:beforeAutospacing="0"/>
        <w:tabs>
          <w:tab w:val="left" w:pos="6946" w:leader="none"/>
        </w:tabs>
        <w:rPr>
          <w:rFonts w:ascii="Times New Roman" w:hAnsi="Times New Roman" w:eastAsia="Droid Sans"/>
          <w:b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 голова                                            </w:t>
      </w:r>
      <w:r>
        <w:rPr>
          <w:rFonts w:ascii="Times New Roman" w:hAnsi="Times New Roman" w:eastAsia="Droid Sans"/>
          <w:b/>
          <w:sz w:val="28"/>
          <w:szCs w:val="28"/>
          <w:lang w:val="uk-UA" w:bidi="hi-IN" w:eastAsia="hi-IN"/>
        </w:rPr>
        <w:t xml:space="preserve">     </w:t>
      </w: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           </w:t>
      </w:r>
      <w:r>
        <w:rPr>
          <w:rFonts w:ascii="Times New Roman" w:hAnsi="Times New Roman" w:eastAsia="Droid Sans"/>
          <w:b/>
          <w:sz w:val="28"/>
          <w:szCs w:val="28"/>
          <w:lang w:val="uk-UA" w:bidi="hi-IN" w:eastAsia="hi-IN"/>
        </w:rPr>
        <w:t xml:space="preserve">           </w:t>
      </w: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Г.А.</w:t>
      </w: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Примаков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eastAsia="Droid Sans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954"/>
        <w:jc w:val="both"/>
        <w:spacing w:lineRule="auto" w:line="240" w:after="0" w:afterAutospacing="0" w:before="0" w:beforeAutospacing="0"/>
        <w:tabs>
          <w:tab w:val="left" w:pos="284" w:leader="none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 xml:space="preserve">Додаток</w:t>
      </w:r>
      <w:r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sz w:val="20"/>
          <w:szCs w:val="20"/>
        </w:rPr>
        <w:t xml:space="preserve">рішення</w:t>
      </w:r>
      <w:r>
        <w:rPr>
          <w:rFonts w:ascii="Times New Roman" w:hAnsi="Times New Roman"/>
          <w:sz w:val="20"/>
          <w:szCs w:val="20"/>
        </w:rPr>
        <w:t xml:space="preserve"> 36 </w:t>
      </w:r>
      <w:r>
        <w:rPr>
          <w:rFonts w:ascii="Times New Roman" w:hAnsi="Times New Roman"/>
          <w:sz w:val="20"/>
          <w:szCs w:val="20"/>
        </w:rPr>
        <w:t xml:space="preserve">сесії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Менської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міської</w:t>
      </w:r>
      <w:r>
        <w:rPr>
          <w:rFonts w:ascii="Times New Roman" w:hAnsi="Times New Roman"/>
          <w:sz w:val="20"/>
          <w:szCs w:val="20"/>
        </w:rPr>
        <w:t xml:space="preserve"> ради 7 </w:t>
      </w:r>
      <w:r>
        <w:rPr>
          <w:rFonts w:ascii="Times New Roman" w:hAnsi="Times New Roman"/>
          <w:sz w:val="20"/>
          <w:szCs w:val="20"/>
        </w:rPr>
        <w:t xml:space="preserve">скликання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від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26.12.2019 р. </w:t>
      </w:r>
      <w:r>
        <w:rPr>
          <w:rFonts w:ascii="Times New Roman" w:hAnsi="Times New Roman"/>
          <w:sz w:val="20"/>
          <w:szCs w:val="20"/>
          <w:lang w:val="uk-UA"/>
        </w:rPr>
        <w:t xml:space="preserve"> «Про затвердження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Програми розвитку комунального </w:t>
      </w:r>
      <w:r>
        <w:rPr>
          <w:rFonts w:ascii="Times New Roman" w:hAnsi="Times New Roman"/>
          <w:sz w:val="20"/>
          <w:szCs w:val="20"/>
          <w:lang w:val="uk-UA"/>
        </w:rPr>
        <w:t xml:space="preserve">підприємства «</w:t>
      </w:r>
      <w:r>
        <w:rPr>
          <w:rFonts w:ascii="Times New Roman" w:hAnsi="Times New Roman"/>
          <w:sz w:val="20"/>
          <w:szCs w:val="20"/>
          <w:lang w:val="uk-UA"/>
        </w:rPr>
        <w:t xml:space="preserve">Менакомунпослуга</w:t>
      </w:r>
      <w:r>
        <w:rPr>
          <w:rFonts w:ascii="Times New Roman" w:hAnsi="Times New Roman"/>
          <w:sz w:val="20"/>
          <w:szCs w:val="20"/>
          <w:lang w:val="uk-UA"/>
        </w:rPr>
        <w:t xml:space="preserve">» Менської міської ради</w:t>
      </w:r>
      <w:r>
        <w:rPr>
          <w:rFonts w:ascii="Times New Roman" w:hAnsi="Times New Roman"/>
          <w:sz w:val="20"/>
          <w:szCs w:val="20"/>
          <w:lang w:val="uk-UA"/>
        </w:rPr>
        <w:t xml:space="preserve"> на 2020-2022 роки</w:t>
      </w:r>
      <w:r>
        <w:rPr>
          <w:rFonts w:ascii="Times New Roman" w:hAnsi="Times New Roman"/>
          <w:sz w:val="20"/>
          <w:szCs w:val="20"/>
          <w:lang w:val="uk-UA"/>
        </w:rPr>
        <w:t xml:space="preserve">»</w:t>
      </w:r>
      <w:r>
        <w:rPr>
          <w:rFonts w:ascii="Times New Roman" w:hAnsi="Times New Roman"/>
          <w:sz w:val="20"/>
          <w:szCs w:val="20"/>
          <w:lang w:val="uk-UA"/>
        </w:rPr>
        <w:t xml:space="preserve"> №</w:t>
      </w:r>
      <w:r>
        <w:rPr>
          <w:rFonts w:ascii="Times New Roman" w:hAnsi="Times New Roman"/>
          <w:sz w:val="20"/>
          <w:szCs w:val="20"/>
          <w:lang w:val="uk-UA"/>
        </w:rPr>
        <w:t xml:space="preserve">665</w:t>
      </w:r>
      <w:bookmarkStart w:id="0" w:name="_GoBack"/>
      <w:r/>
      <w:bookmarkEnd w:id="0"/>
      <w:r/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ПРОГРАМА</w:t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«Розвит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комунального підприємства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Менакомунпослуга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на 2020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-2022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оки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»</w:t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shd w:val="nil" w:color="auto" w:fill="FFFFFF"/>
        <w:rPr>
          <w:rFonts w:ascii="Times New Roman" w:hAnsi="Times New Roman" w:eastAsia="Times New Roman"/>
          <w:bCs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br w:type="page"/>
      </w:r>
      <w:r/>
    </w:p>
    <w:p>
      <w:pPr>
        <w:jc w:val="center"/>
        <w:keepNext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ЗМІСТ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360" w:right="278"/>
        <w:jc w:val="right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numPr>
          <w:ilvl w:val="0"/>
          <w:numId w:val="9"/>
        </w:num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/>
    </w:p>
    <w:p>
      <w:pPr>
        <w:numPr>
          <w:ilvl w:val="0"/>
          <w:numId w:val="9"/>
        </w:num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Загальні положення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numPr>
          <w:ilvl w:val="0"/>
          <w:numId w:val="9"/>
        </w:num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Сучасний стан комунального підприємства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numPr>
          <w:ilvl w:val="0"/>
          <w:numId w:val="9"/>
        </w:num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Мета програми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numPr>
          <w:ilvl w:val="0"/>
          <w:numId w:val="9"/>
        </w:num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Обґрунтування шляхів і засобів розв’язання проблеми, обсяг та джерела фінансування, строки та етапи виконання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numPr>
          <w:ilvl w:val="0"/>
          <w:numId w:val="9"/>
        </w:num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Основні завдання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та заходи програми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numPr>
          <w:ilvl w:val="0"/>
          <w:numId w:val="9"/>
        </w:num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Очікувані результати реалізації Програми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shd w:val="nil" w:color="auto" w:fill="FFFFFF"/>
        <w:rPr>
          <w:szCs w:val="28"/>
        </w:rPr>
      </w:pPr>
      <w:r>
        <w:rPr>
          <w:sz w:val="28"/>
          <w:szCs w:val="28"/>
          <w:lang w:val="uk-UA" w:eastAsia="ru-RU"/>
        </w:rPr>
        <w:br w:type="page"/>
      </w:r>
      <w:r/>
    </w:p>
    <w:p>
      <w:pPr>
        <w:spacing w:lineRule="auto" w:line="240" w:after="0" w:afterAutospacing="0" w:before="0" w:beforeAutospacing="0"/>
        <w:rPr>
          <w:sz w:val="28"/>
          <w:szCs w:val="28"/>
          <w:lang w:val="uk-UA" w:eastAsia="ru-RU"/>
        </w:rPr>
      </w:pPr>
      <w:r/>
      <w:r/>
    </w:p>
    <w:p>
      <w:pPr>
        <w:pStyle w:val="184"/>
        <w:numPr>
          <w:ilvl w:val="0"/>
          <w:numId w:val="3"/>
        </w:numPr>
        <w:jc w:val="center"/>
        <w:spacing w:lineRule="auto" w:line="240" w:after="0" w:afterAutospacing="0" w:before="0" w:beforeAutospacing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 w:val="false"/>
          <w:lang w:eastAsia="ru-RU"/>
        </w:rPr>
        <w:t xml:space="preserve">Паспорт програми розвитку комунального підприємства «</w:t>
      </w:r>
      <w:r>
        <w:rPr>
          <w:rFonts w:ascii="Times New Roman" w:hAnsi="Times New Roman"/>
          <w:bCs w:val="false"/>
          <w:lang w:eastAsia="ru-RU"/>
        </w:rPr>
        <w:t xml:space="preserve">Менакомунпослуга</w:t>
      </w:r>
      <w:r>
        <w:rPr>
          <w:rFonts w:ascii="Times New Roman" w:hAnsi="Times New Roman"/>
          <w:bCs w:val="false"/>
          <w:lang w:eastAsia="ru-RU"/>
        </w:rPr>
        <w:t xml:space="preserve">» Менської міської ради </w:t>
      </w:r>
      <w:r>
        <w:rPr>
          <w:rFonts w:ascii="Times New Roman" w:hAnsi="Times New Roman"/>
          <w:lang w:eastAsia="ru-RU"/>
        </w:rPr>
        <w:t xml:space="preserve">на 2020</w:t>
      </w:r>
      <w:r>
        <w:rPr>
          <w:rFonts w:ascii="Times New Roman" w:hAnsi="Times New Roman"/>
          <w:lang w:eastAsia="ru-RU"/>
        </w:rPr>
        <w:t xml:space="preserve">-2022</w:t>
      </w:r>
      <w:r>
        <w:rPr>
          <w:rFonts w:ascii="Times New Roman" w:hAnsi="Times New Roman"/>
          <w:lang w:eastAsia="ru-RU"/>
        </w:rPr>
        <w:t xml:space="preserve"> р</w:t>
      </w:r>
      <w:r>
        <w:rPr>
          <w:rFonts w:ascii="Times New Roman" w:hAnsi="Times New Roman"/>
          <w:lang w:eastAsia="ru-RU"/>
        </w:rPr>
        <w:t xml:space="preserve">оки</w:t>
      </w:r>
      <w:r/>
    </w:p>
    <w:tbl>
      <w:tblPr>
        <w:tblW w:w="4852" w:type="pct"/>
        <w:tblBorders>
          <w:left w:val="single" w:color="999999" w:sz="4" w:space="0"/>
          <w:top w:val="single" w:color="999999" w:sz="4" w:space="0"/>
          <w:right w:val="single" w:color="999999" w:sz="4" w:space="0"/>
          <w:bottom w:val="single" w:color="999999" w:sz="4" w:space="0"/>
          <w:insideV w:val="single" w:color="999999" w:sz="4" w:space="0"/>
          <w:insideH w:val="single" w:color="999999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4945"/>
        <w:gridCol w:w="3702"/>
      </w:tblGrid>
      <w:tr>
        <w:trPr>
          <w:trHeight w:val="315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4945" w:type="dxa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70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Менська міська рада</w:t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4945" w:type="dxa"/>
            <w:vMerge w:val="restart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Розробник 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70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Менська міська рада</w:t>
            </w:r>
            <w:r/>
          </w:p>
        </w:tc>
      </w:tr>
      <w:tr>
        <w:trPr>
          <w:cantSplit/>
          <w:trHeight w:val="322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494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370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cantSplit/>
          <w:trHeight w:val="276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4945" w:type="dxa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Співрозробник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70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КП 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Менакомунпослуга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» Менської міської ради</w:t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4945" w:type="dxa"/>
            <w:vMerge w:val="restart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70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Менська міська рада</w:t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vMerge w:val="continue"/>
            <w:textDirection w:val="lrTb"/>
            <w:noWrap/>
          </w:tcPr>
          <w:p>
            <w:pPr>
              <w:numPr>
                <w:ilvl w:val="0"/>
                <w:numId w:val="3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4945" w:type="dxa"/>
            <w:vMerge w:val="continue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70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cantSplit/>
          <w:trHeight w:val="322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494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370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4945" w:type="dxa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Термін реалізації 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702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-2022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оки</w:t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4945" w:type="dxa"/>
            <w:vMerge w:val="restart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Перелік джерел фінансування, які беруть участь у виконанні Програми 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70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Бюджет Менської міської об’єднаної територіальної громади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Державний бюджет України</w:t>
            </w:r>
            <w:r/>
          </w:p>
        </w:tc>
      </w:tr>
      <w:tr>
        <w:trPr>
          <w:cantSplit/>
          <w:trHeight w:val="322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494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370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cantSplit/>
          <w:trHeight w:val="322"/>
        </w:trPr>
        <w:tc>
          <w:tcPr>
            <w:tcW w:w="744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494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3702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7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4945" w:type="dxa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ресурсів, необхідних для виконання Програми 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702" w:type="dxa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8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 255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 000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грн. 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r>
            <w:r/>
          </w:p>
        </w:tc>
      </w:tr>
    </w:tbl>
    <w:p>
      <w:pPr>
        <w:shd w:val="nil" w:color="auto" w:fill="FFFFFF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.Загальні положення</w:t>
      </w:r>
      <w:r/>
    </w:p>
    <w:p>
      <w:pPr>
        <w:ind w:firstLine="708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є засновником та власником комунального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підприємства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» і відповідно до Конституції України, Господарського та Цивільного Кодексів України, Закону України «Про місцеве самоврядування в Україні» уповноважена здійснювати функції володіння, користування, розпорядження комунальним майном в інтересах територіальної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громади. Реалізація заходів, передбачених Програмою здійснюється відповідно до Конституції України, Закону України «Про місцеве самоврядування в Україні», Бюджетного кодексу України, наказу МФУ від 14.02.2011 року №96 «Про затвердження типової відомчої кла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сифікації видатків та кредитування місцевих бюджетів» та інших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нормативно-правових актів.</w:t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.Сучасний стан комунального підприємства</w:t>
      </w:r>
      <w:r/>
    </w:p>
    <w:p>
      <w:pPr>
        <w:ind w:firstLine="708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 Менській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об’єднаній територіальній громаді зд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ійснює свою діяльність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комуна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льне підприємство 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».  Для забезпечення виконання завдань, передбачених в 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становчих документах, комунальне підприємство нерідко потребує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залучення додаткового фінансування, яке сприятиме більш ефективному використанню комунального майна, оновленню виробничих потужностей, зміцненню матеріально-технічної бази підприємств та забезпеченню повного і своєчасного проведення розрахунків з бюджетом.</w:t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.Мета програми</w:t>
      </w:r>
      <w:r/>
    </w:p>
    <w:p>
      <w:pPr>
        <w:ind w:firstLine="708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Метою Програми є забезпечення розвитку та стабільної роботи комунального підприємства об’єднаної територіальної громади згідно їх функціональних призначень, збереження комунальног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 майна громади та розвиток КП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», розширення переліку послуг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що надаються комунальним підприємством жителям громади.</w:t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. Обґрунтування шляхів і засобів розв’язання проблеми, обсяг та джерела фінансування, строки та етапи виконання</w:t>
      </w:r>
      <w:r/>
    </w:p>
    <w:p>
      <w:pPr>
        <w:jc w:val="both"/>
        <w:spacing w:lineRule="auto" w:line="240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Фінансування заходів з виконання Програми здійснюється за рахунок коштів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Менської міської об’єднаної територіальної громади та Державного бюджету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tabs>
          <w:tab w:val="left" w:pos="284" w:leader="none"/>
          <w:tab w:val="left" w:pos="203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Протягом року обсяг фінансування Програми за рахунок коштів бюджету Менської міської об’єднаної територіальної громади може змінюватись відповідно до рішення міської ради про внесення змін до бюджету на відповідний рік, виходячи з наявного фінансування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сурсу бюджету Менської міської об’єднаної територіальної громади.</w:t>
      </w:r>
      <w:r/>
    </w:p>
    <w:p>
      <w:pPr>
        <w:jc w:val="both"/>
        <w:spacing w:lineRule="auto" w:line="240" w:after="0" w:afterAutospacing="0" w:before="0" w:beforeAutospacing="0"/>
        <w:tabs>
          <w:tab w:val="left" w:pos="284" w:leader="none"/>
          <w:tab w:val="left" w:pos="203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Головним розпорядником коштів за Програмою виступає Менська міська рада.</w:t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.Основні завдання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та заходи програми</w:t>
      </w:r>
      <w:r/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Пріоритетними завданнями, на виконання яких спрямована Програма є:</w:t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Заходи Програми 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«Розвитку комунального підприємства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Менакомунпослуга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на 20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-2022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рік»</w:t>
      </w:r>
      <w:r/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/>
    </w:p>
    <w:tbl>
      <w:tblPr>
        <w:tblW w:w="1002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7"/>
        <w:gridCol w:w="850"/>
        <w:gridCol w:w="1276"/>
        <w:gridCol w:w="1417"/>
        <w:gridCol w:w="1125"/>
      </w:tblGrid>
      <w:tr>
        <w:trPr>
          <w:trHeight w:val="622"/>
        </w:trPr>
        <w:tc>
          <w:tcPr>
            <w:shd w:val="clear" w:color="auto" w:fill="auto"/>
            <w:tcW w:w="674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14"/>
              </w:rPr>
            </w:r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  <w:szCs w:val="28"/>
                <w:lang w:val="uk-UA"/>
              </w:rPr>
              <w:t xml:space="preserve">Зміст заходів (придбання)</w:t>
            </w:r>
            <w:r>
              <w:rPr>
                <w:rFonts w:ascii="Times New Roman" w:hAnsi="Times New Roman" w:cs="Times New Roman" w:eastAsia="Times New Roman"/>
                <w:b w:val="false"/>
                <w:sz w:val="14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  <w:szCs w:val="28"/>
                <w:lang w:val="uk-UA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b w:val="false"/>
                <w:sz w:val="14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  <w:szCs w:val="28"/>
                <w:lang w:val="uk-UA"/>
              </w:rPr>
              <w:t xml:space="preserve">Орієнтовна ціна за 1 од., 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  <w:szCs w:val="28"/>
                <w:lang w:val="uk-UA"/>
              </w:rPr>
              <w:t xml:space="preserve">тис. 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  <w:szCs w:val="28"/>
                <w:lang w:val="uk-UA"/>
              </w:rPr>
              <w:t xml:space="preserve">грн.</w:t>
            </w:r>
            <w:r>
              <w:rPr>
                <w:rFonts w:ascii="Times New Roman" w:hAnsi="Times New Roman" w:cs="Times New Roman" w:eastAsia="Times New Roman"/>
                <w:b w:val="false"/>
                <w:sz w:val="14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  <w:szCs w:val="28"/>
                <w:lang w:val="uk-UA"/>
              </w:rPr>
              <w:t xml:space="preserve">Орієнтовна сума, 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  <w:szCs w:val="28"/>
                <w:lang w:val="uk-UA"/>
              </w:rPr>
              <w:t xml:space="preserve">тис. </w:t>
            </w:r>
            <w:r>
              <w:rPr>
                <w:rFonts w:ascii="Times New Roman" w:hAnsi="Times New Roman" w:cs="Times New Roman" w:eastAsia="Times New Roman"/>
                <w:b w:val="false"/>
                <w:sz w:val="18"/>
                <w:szCs w:val="28"/>
                <w:lang w:val="uk-UA"/>
              </w:rPr>
              <w:t xml:space="preserve">грн.</w:t>
            </w:r>
            <w:r>
              <w:rPr>
                <w:rFonts w:ascii="Times New Roman" w:hAnsi="Times New Roman" w:cs="Times New Roman" w:eastAsia="Times New Roman"/>
                <w:b w:val="false"/>
                <w:sz w:val="14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18"/>
                <w:szCs w:val="28"/>
                <w:lang w:val="uk-UA"/>
              </w:rPr>
              <w:t xml:space="preserve">Рік виконання</w:t>
            </w:r>
            <w:r>
              <w:rPr>
                <w:rFonts w:ascii="Times New Roman" w:hAnsi="Times New Roman" w:cs="Times New Roman" w:eastAsia="Times New Roman"/>
                <w:b w:val="false"/>
                <w:sz w:val="14"/>
              </w:rPr>
            </w:r>
          </w:p>
        </w:tc>
      </w:tr>
      <w:tr>
        <w:trPr/>
        <w:tc>
          <w:tcPr>
            <w:gridSpan w:val="6"/>
            <w:shd w:val="clear" w:color="auto" w:fill="auto"/>
            <w:tcW w:w="10020" w:type="dxa"/>
            <w:textDirection w:val="lrTb"/>
            <w:noWrap w:val="false"/>
          </w:tcPr>
          <w:p>
            <w:pPr>
              <w:pStyle w:val="189"/>
              <w:numPr>
                <w:ilvl w:val="0"/>
                <w:numId w:val="2"/>
              </w:num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Техніка: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444"/>
        </w:trPr>
        <w:tc>
          <w:tcPr>
            <w:shd w:val="clear" w:color="auto" w:fill="auto"/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Сміттєвоз МАЗ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2 500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5 0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>
          <w:trHeight w:val="538"/>
        </w:trPr>
        <w:tc>
          <w:tcPr>
            <w:shd w:val="clear" w:color="auto" w:fill="auto"/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Асенізаційна машина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Напорно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всас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КО-503В-9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2 000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2 000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>
          <w:trHeight w:val="332"/>
        </w:trPr>
        <w:tc>
          <w:tcPr>
            <w:shd w:val="clear" w:color="auto" w:fill="auto"/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Автомобіль ГАЗ «Газель» б/у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>
          <w:trHeight w:val="273"/>
        </w:trPr>
        <w:tc>
          <w:tcPr>
            <w:shd w:val="clear" w:color="auto" w:fill="auto"/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Бульдозер Т-170 б/у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>
          <w:trHeight w:val="273"/>
        </w:trPr>
        <w:tc>
          <w:tcPr>
            <w:shd w:val="clear" w:color="auto" w:fill="auto"/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Комбінована машина КРАЗ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2 800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2 800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>
          <w:trHeight w:val="656"/>
        </w:trPr>
        <w:tc>
          <w:tcPr>
            <w:shd w:val="clear" w:color="auto" w:fill="auto"/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Пересувна ремонтна майстерня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водоканалу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 базі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МАЗ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3 000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3 000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/>
        <w:tc>
          <w:tcPr>
            <w:gridSpan w:val="6"/>
            <w:shd w:val="clear" w:color="auto" w:fill="auto"/>
            <w:tcW w:w="10020" w:type="dxa"/>
            <w:textDirection w:val="lrTb"/>
            <w:noWrap w:val="false"/>
          </w:tcPr>
          <w:p>
            <w:pPr>
              <w:pStyle w:val="189"/>
              <w:numPr>
                <w:ilvl w:val="0"/>
                <w:numId w:val="2"/>
              </w:num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ТПВ та благоустрій: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Контейнери для ТПВ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1 050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>
          <w:trHeight w:val="281"/>
        </w:trPr>
        <w:tc>
          <w:tcPr>
            <w:shd w:val="clear" w:color="auto" w:fill="auto"/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Контейнерні майданчики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/>
        <w:tc>
          <w:tcPr>
            <w:gridSpan w:val="6"/>
            <w:shd w:val="clear" w:color="auto" w:fill="auto"/>
            <w:tcW w:w="10020" w:type="dxa"/>
            <w:textDirection w:val="lrTb"/>
            <w:noWrap w:val="false"/>
          </w:tcPr>
          <w:p>
            <w:pPr>
              <w:pStyle w:val="189"/>
              <w:numPr>
                <w:ilvl w:val="0"/>
                <w:numId w:val="2"/>
              </w:num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Технічне приладдя: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443"/>
        </w:trPr>
        <w:tc>
          <w:tcPr>
            <w:shd w:val="clear" w:color="auto" w:fill="auto"/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Корчувач пнів для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Беларус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892.2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55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>
          <w:trHeight w:val="387"/>
        </w:trPr>
        <w:tc>
          <w:tcPr>
            <w:shd w:val="clear" w:color="auto" w:fill="auto"/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Кусторіз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>
          <w:trHeight w:val="255"/>
        </w:trPr>
        <w:tc>
          <w:tcPr>
            <w:shd w:val="clear" w:color="auto" w:fill="auto"/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Гідромолот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6202" w:type="dxa"/>
            <w:textDirection w:val="lrTb"/>
            <w:noWrap w:val="false"/>
          </w:tcPr>
          <w:p>
            <w:pPr>
              <w:pStyle w:val="189"/>
              <w:numPr>
                <w:ilvl w:val="0"/>
                <w:numId w:val="2"/>
              </w:numPr>
              <w:ind w:left="0" w:right="0" w:hanging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Придбання адміністративно-господарського комплексу для КП «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Менакомунпослуга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1 500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>
          <w:trHeight w:val="279"/>
        </w:trPr>
        <w:tc>
          <w:tcPr>
            <w:gridSpan w:val="3"/>
            <w:shd w:val="clear" w:color="auto" w:fill="auto"/>
            <w:tcW w:w="6202" w:type="dxa"/>
            <w:textDirection w:val="lrTb"/>
            <w:noWrap w:val="false"/>
          </w:tcPr>
          <w:p>
            <w:pPr>
              <w:pStyle w:val="189"/>
              <w:numPr>
                <w:ilvl w:val="0"/>
                <w:numId w:val="2"/>
              </w:num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Реконструкція лазні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1 600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W w:w="112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8"/>
                <w:lang w:val="uk-UA"/>
              </w:rPr>
              <w:t xml:space="preserve">2020-2022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</w:p>
        </w:tc>
      </w:tr>
      <w:tr>
        <w:trPr>
          <w:trHeight w:val="239"/>
        </w:trPr>
        <w:tc>
          <w:tcPr>
            <w:gridSpan w:val="3"/>
            <w:shd w:val="clear" w:color="auto" w:fill="auto"/>
            <w:tcW w:w="620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3"/>
            <w:shd w:val="clear" w:color="auto" w:fill="auto"/>
            <w:tcW w:w="3818" w:type="dxa"/>
            <w:textDirection w:val="lrTb"/>
            <w:noWrap w:val="false"/>
          </w:tcPr>
          <w:p>
            <w:pPr>
              <w:ind w:left="36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 255 000,00 грн.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pStyle w:val="189"/>
        <w:jc w:val="center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380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89"/>
        <w:jc w:val="center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380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</w:t>
      </w:r>
      <w:r>
        <w:rPr>
          <w:b/>
          <w:sz w:val="28"/>
          <w:szCs w:val="28"/>
          <w:lang w:val="uk-UA"/>
        </w:rPr>
        <w:t xml:space="preserve">Очікувані результати реалізації Програми.</w:t>
      </w:r>
      <w:r/>
    </w:p>
    <w:p>
      <w:pPr>
        <w:jc w:val="both"/>
        <w:spacing w:lineRule="auto" w:line="240" w:after="0" w:afterAutospacing="0" w:before="0" w:beforeAutospacing="0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91"/>
          <w:rFonts w:eastAsia="Calibri"/>
          <w:color w:val="auto"/>
          <w:sz w:val="28"/>
          <w:szCs w:val="28"/>
        </w:rPr>
        <w:t xml:space="preserve">Виконання Програми дасть можливість забезпечити:</w:t>
      </w:r>
      <w:r/>
    </w:p>
    <w:p>
      <w:pPr>
        <w:numPr>
          <w:ilvl w:val="0"/>
          <w:numId w:val="5"/>
        </w:numPr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38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91"/>
          <w:rFonts w:eastAsia="Calibri"/>
          <w:color w:val="auto"/>
          <w:sz w:val="28"/>
          <w:szCs w:val="28"/>
        </w:rPr>
        <w:t xml:space="preserve">поліпшення санітарного стану населених пунктів об'єднаної громади та створення кращих умов для життєдіяльності їх мешканців;</w:t>
      </w:r>
      <w:r/>
    </w:p>
    <w:p>
      <w:pPr>
        <w:numPr>
          <w:ilvl w:val="0"/>
          <w:numId w:val="5"/>
        </w:numPr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38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91"/>
          <w:rFonts w:eastAsia="Calibri"/>
          <w:color w:val="auto"/>
          <w:sz w:val="28"/>
          <w:szCs w:val="28"/>
        </w:rPr>
        <w:t xml:space="preserve">зменшення шкідливого впливу побутових відходів на навколишнє природне середовище та здоров’я людини;</w:t>
      </w:r>
      <w:r/>
    </w:p>
    <w:p>
      <w:pPr>
        <w:numPr>
          <w:ilvl w:val="0"/>
          <w:numId w:val="5"/>
        </w:numPr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38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91"/>
          <w:rFonts w:eastAsia="Calibri"/>
          <w:color w:val="auto"/>
          <w:sz w:val="28"/>
          <w:szCs w:val="28"/>
        </w:rPr>
        <w:t xml:space="preserve">впровадження сучасних технологій, спеціалізованого обладнання, п</w:t>
      </w:r>
      <w:r>
        <w:rPr>
          <w:rStyle w:val="191"/>
          <w:rFonts w:eastAsia="Calibri"/>
          <w:color w:val="auto"/>
          <w:sz w:val="28"/>
          <w:szCs w:val="28"/>
        </w:rPr>
        <w:t xml:space="preserve">ридбання техніки для комунального</w:t>
      </w:r>
      <w:r>
        <w:rPr>
          <w:rStyle w:val="191"/>
          <w:rFonts w:eastAsia="Calibri"/>
          <w:color w:val="auto"/>
          <w:sz w:val="28"/>
          <w:szCs w:val="28"/>
        </w:rPr>
        <w:t xml:space="preserve"> підприємств</w:t>
      </w:r>
      <w:r>
        <w:rPr>
          <w:rStyle w:val="191"/>
          <w:rFonts w:eastAsia="Calibri"/>
          <w:color w:val="auto"/>
          <w:sz w:val="28"/>
          <w:szCs w:val="28"/>
        </w:rPr>
        <w:t xml:space="preserve">а</w:t>
      </w:r>
      <w:r>
        <w:rPr>
          <w:rStyle w:val="191"/>
          <w:rFonts w:eastAsia="Calibri"/>
          <w:color w:val="auto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380" w:leader="none"/>
        </w:tabs>
        <w:rPr>
          <w:rStyle w:val="191"/>
          <w:rFonts w:eastAsia="Calibri"/>
          <w:color w:val="auto"/>
          <w:sz w:val="28"/>
          <w:szCs w:val="28"/>
        </w:rPr>
      </w:pPr>
      <w:r>
        <w:rPr>
          <w:rStyle w:val="191"/>
          <w:rFonts w:eastAsia="Calibri"/>
          <w:color w:val="auto"/>
          <w:sz w:val="28"/>
          <w:szCs w:val="28"/>
        </w:rPr>
        <w:t xml:space="preserve">поліпшення естетичного вигляду міста.</w:t>
      </w:r>
      <w:r/>
    </w:p>
    <w:p>
      <w:pPr>
        <w:numPr>
          <w:ilvl w:val="0"/>
          <w:numId w:val="5"/>
        </w:numPr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38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стале функціонування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збереження майна комунальної власності, яке знаходиться в господарському віданн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sectPr>
      <w:footnotePr/>
      <w:type w:val="nextPage"/>
      <w:pgSz w:w="11906" w:h="16838"/>
      <w:pgMar w:top="1134" w:right="851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Droid Sans">
    <w:panose1 w:val="020B05020000000000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decimal"/>
      <w:suff w:val="tab"/>
      <w:lvlText w:val="%1"/>
      <w:lvlJc w:val="left"/>
      <w:pPr>
        <w:ind w:left="1815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2535" w:hanging="359"/>
      </w:pPr>
    </w:lvl>
    <w:lvl w:ilvl="2">
      <w:start w:val="1"/>
      <w:numFmt w:val="lowerRoman"/>
      <w:suff w:val="tab"/>
      <w:lvlText w:val="%3."/>
      <w:lvlJc w:val="right"/>
      <w:pPr>
        <w:ind w:left="3255" w:hanging="179"/>
      </w:pPr>
    </w:lvl>
    <w:lvl w:ilvl="3">
      <w:start w:val="1"/>
      <w:numFmt w:val="decimal"/>
      <w:suff w:val="tab"/>
      <w:lvlText w:val="%4."/>
      <w:lvlJc w:val="left"/>
      <w:pPr>
        <w:ind w:left="3975" w:hanging="359"/>
      </w:pPr>
    </w:lvl>
    <w:lvl w:ilvl="4">
      <w:start w:val="1"/>
      <w:numFmt w:val="lowerLetter"/>
      <w:suff w:val="tab"/>
      <w:lvlText w:val="%5."/>
      <w:lvlJc w:val="left"/>
      <w:pPr>
        <w:ind w:left="4695" w:hanging="359"/>
      </w:pPr>
    </w:lvl>
    <w:lvl w:ilvl="5">
      <w:start w:val="1"/>
      <w:numFmt w:val="lowerRoman"/>
      <w:suff w:val="tab"/>
      <w:lvlText w:val="%6."/>
      <w:lvlJc w:val="right"/>
      <w:pPr>
        <w:ind w:left="5415" w:hanging="179"/>
      </w:pPr>
    </w:lvl>
    <w:lvl w:ilvl="6">
      <w:start w:val="1"/>
      <w:numFmt w:val="decimal"/>
      <w:suff w:val="tab"/>
      <w:lvlText w:val="%7."/>
      <w:lvlJc w:val="left"/>
      <w:pPr>
        <w:ind w:left="6135" w:hanging="359"/>
      </w:pPr>
    </w:lvl>
    <w:lvl w:ilvl="7">
      <w:start w:val="1"/>
      <w:numFmt w:val="lowerLetter"/>
      <w:suff w:val="tab"/>
      <w:lvlText w:val="%8."/>
      <w:lvlJc w:val="left"/>
      <w:pPr>
        <w:ind w:left="6855" w:hanging="359"/>
      </w:pPr>
    </w:lvl>
    <w:lvl w:ilvl="8">
      <w:start w:val="1"/>
      <w:numFmt w:val="lowerRoman"/>
      <w:suff w:val="tab"/>
      <w:lvlText w:val="%9."/>
      <w:lvlJc w:val="right"/>
      <w:pPr>
        <w:ind w:left="7575" w:hanging="179"/>
      </w:p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uk-UA" w:bidi="uk-UA" w:eastAsia="uk-UA"/>
      </w:rPr>
    </w:lvl>
    <w:lvl w:ilvl="1">
      <w:start w:val="1"/>
      <w:numFmt w:val="decimal"/>
      <w:suff w:val="tab"/>
      <w:lvlText w:val=""/>
      <w:lvlJc w:val="left"/>
      <w:pPr/>
    </w:lvl>
    <w:lvl w:ilvl="2">
      <w:start w:val="1"/>
      <w:numFmt w:val="decimal"/>
      <w:suff w:val="tab"/>
      <w:lvlText w:val=""/>
      <w:lvlJc w:val="left"/>
      <w:pPr/>
    </w:lvl>
    <w:lvl w:ilvl="3">
      <w:start w:val="1"/>
      <w:numFmt w:val="decimal"/>
      <w:suff w:val="tab"/>
      <w:lvlText w:val=""/>
      <w:lvlJc w:val="left"/>
      <w:pPr/>
    </w:lvl>
    <w:lvl w:ilvl="4">
      <w:start w:val="1"/>
      <w:numFmt w:val="decimal"/>
      <w:suff w:val="tab"/>
      <w:lvlText w:val=""/>
      <w:lvlJc w:val="left"/>
      <w:pPr/>
    </w:lvl>
    <w:lvl w:ilvl="5">
      <w:start w:val="1"/>
      <w:numFmt w:val="decimal"/>
      <w:suff w:val="tab"/>
      <w:lvlText w:val=""/>
      <w:lvlJc w:val="left"/>
      <w:pPr/>
    </w:lvl>
    <w:lvl w:ilvl="6">
      <w:start w:val="1"/>
      <w:numFmt w:val="decimal"/>
      <w:suff w:val="tab"/>
      <w:lvlText w:val=""/>
      <w:lvlJc w:val="left"/>
      <w:pPr/>
    </w:lvl>
    <w:lvl w:ilvl="7">
      <w:start w:val="1"/>
      <w:numFmt w:val="decimal"/>
      <w:suff w:val="tab"/>
      <w:lvlText w:val=""/>
      <w:lvlJc w:val="left"/>
      <w:pPr/>
    </w:lvl>
    <w:lvl w:ilvl="8">
      <w:start w:val="1"/>
      <w:numFmt w:val="decimal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5"/>
      <w:numFmt w:val="decimal"/>
      <w:suff w:val="tab"/>
      <w:lvlText w:val="%1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59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79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59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79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59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79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59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79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59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79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59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79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6"/>
      <w:numFmt w:val="decimal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</w:pPr>
    </w:lvl>
    <w:lvl w:ilvl="2">
      <w:start w:val="1"/>
      <w:numFmt w:val="lowerRoman"/>
      <w:suff w:val="tab"/>
      <w:lvlText w:val="%3."/>
      <w:lvlJc w:val="right"/>
      <w:pPr>
        <w:ind w:left="2520" w:hanging="179"/>
      </w:pPr>
    </w:lvl>
    <w:lvl w:ilvl="3">
      <w:start w:val="1"/>
      <w:numFmt w:val="decimal"/>
      <w:suff w:val="tab"/>
      <w:lvlText w:val="%4."/>
      <w:lvlJc w:val="left"/>
      <w:pPr>
        <w:ind w:left="3240" w:hanging="359"/>
      </w:pPr>
    </w:lvl>
    <w:lvl w:ilvl="4">
      <w:start w:val="1"/>
      <w:numFmt w:val="lowerLetter"/>
      <w:suff w:val="tab"/>
      <w:lvlText w:val="%5."/>
      <w:lvlJc w:val="left"/>
      <w:pPr>
        <w:ind w:left="3960" w:hanging="359"/>
      </w:pPr>
    </w:lvl>
    <w:lvl w:ilvl="5">
      <w:start w:val="1"/>
      <w:numFmt w:val="lowerRoman"/>
      <w:suff w:val="tab"/>
      <w:lvlText w:val="%6."/>
      <w:lvlJc w:val="right"/>
      <w:pPr>
        <w:ind w:left="4680" w:hanging="179"/>
      </w:pPr>
    </w:lvl>
    <w:lvl w:ilvl="6">
      <w:start w:val="1"/>
      <w:numFmt w:val="decimal"/>
      <w:suff w:val="tab"/>
      <w:lvlText w:val="%7."/>
      <w:lvlJc w:val="left"/>
      <w:pPr>
        <w:ind w:left="5400" w:hanging="359"/>
      </w:pPr>
    </w:lvl>
    <w:lvl w:ilvl="7">
      <w:start w:val="1"/>
      <w:numFmt w:val="lowerLetter"/>
      <w:suff w:val="tab"/>
      <w:lvlText w:val="%8."/>
      <w:lvlJc w:val="left"/>
      <w:pPr>
        <w:ind w:left="6120" w:hanging="359"/>
      </w:pPr>
    </w:lvl>
    <w:lvl w:ilvl="8">
      <w:start w:val="1"/>
      <w:numFmt w:val="lowerRoman"/>
      <w:suff w:val="tab"/>
      <w:lvlText w:val="%9."/>
      <w:lvlJc w:val="right"/>
      <w:pPr>
        <w:ind w:left="6840" w:hanging="179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  <w:b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5"/>
      <w:numFmt w:val="decimal"/>
      <w:suff w:val="tab"/>
      <w:lvlText w:val="%1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8"/>
      <w:numFmt w:val="upperRoman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uk-UA" w:bidi="uk-UA" w:eastAsia="uk-UA"/>
      </w:rPr>
    </w:lvl>
    <w:lvl w:ilvl="1">
      <w:start w:val="1"/>
      <w:numFmt w:val="decimal"/>
      <w:suff w:val="tab"/>
      <w:lvlText w:val=""/>
      <w:lvlJc w:val="left"/>
      <w:pPr/>
    </w:lvl>
    <w:lvl w:ilvl="2">
      <w:start w:val="1"/>
      <w:numFmt w:val="decimal"/>
      <w:suff w:val="tab"/>
      <w:lvlText w:val=""/>
      <w:lvlJc w:val="left"/>
      <w:pPr/>
    </w:lvl>
    <w:lvl w:ilvl="3">
      <w:start w:val="1"/>
      <w:numFmt w:val="decimal"/>
      <w:suff w:val="tab"/>
      <w:lvlText w:val=""/>
      <w:lvlJc w:val="left"/>
      <w:pPr/>
    </w:lvl>
    <w:lvl w:ilvl="4">
      <w:start w:val="1"/>
      <w:numFmt w:val="decimal"/>
      <w:suff w:val="tab"/>
      <w:lvlText w:val=""/>
      <w:lvlJc w:val="left"/>
      <w:pPr/>
    </w:lvl>
    <w:lvl w:ilvl="5">
      <w:start w:val="1"/>
      <w:numFmt w:val="decimal"/>
      <w:suff w:val="tab"/>
      <w:lvlText w:val=""/>
      <w:lvlJc w:val="left"/>
      <w:pPr/>
    </w:lvl>
    <w:lvl w:ilvl="6">
      <w:start w:val="1"/>
      <w:numFmt w:val="decimal"/>
      <w:suff w:val="tab"/>
      <w:lvlText w:val=""/>
      <w:lvlJc w:val="left"/>
      <w:pPr/>
    </w:lvl>
    <w:lvl w:ilvl="7">
      <w:start w:val="1"/>
      <w:numFmt w:val="decimal"/>
      <w:suff w:val="tab"/>
      <w:lvlText w:val=""/>
      <w:lvlJc w:val="left"/>
      <w:pPr/>
    </w:lvl>
    <w:lvl w:ilvl="8">
      <w:start w:val="1"/>
      <w:numFmt w:val="decimal"/>
      <w:suff w:val="tab"/>
      <w:lvlText w:val=""/>
      <w:lvlJc w:val="left"/>
      <w:pPr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82"/>
    <w:next w:val="18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85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85"/>
    <w:link w:val="18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2"/>
    <w:next w:val="18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5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85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2"/>
    <w:next w:val="18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2"/>
    <w:next w:val="18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2"/>
    <w:next w:val="18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2"/>
    <w:next w:val="18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2"/>
    <w:next w:val="18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2"/>
    <w:next w:val="18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5"/>
    <w:link w:val="32"/>
    <w:uiPriority w:val="10"/>
    <w:rPr>
      <w:sz w:val="48"/>
      <w:szCs w:val="48"/>
    </w:rPr>
  </w:style>
  <w:style w:type="paragraph" w:styleId="34">
    <w:name w:val="Subtitle"/>
    <w:basedOn w:val="182"/>
    <w:next w:val="18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5"/>
    <w:link w:val="34"/>
    <w:uiPriority w:val="11"/>
    <w:rPr>
      <w:sz w:val="24"/>
      <w:szCs w:val="24"/>
    </w:rPr>
  </w:style>
  <w:style w:type="paragraph" w:styleId="36">
    <w:name w:val="Quote"/>
    <w:basedOn w:val="182"/>
    <w:next w:val="18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2"/>
    <w:next w:val="18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5"/>
    <w:link w:val="40"/>
    <w:uiPriority w:val="99"/>
  </w:style>
  <w:style w:type="paragraph" w:styleId="42">
    <w:name w:val="Footer"/>
    <w:basedOn w:val="18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5"/>
    <w:link w:val="42"/>
    <w:uiPriority w:val="99"/>
  </w:style>
  <w:style w:type="table" w:styleId="44">
    <w:name w:val="Table Grid"/>
    <w:basedOn w:val="1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5"/>
    <w:uiPriority w:val="99"/>
    <w:unhideWhenUsed/>
    <w:rPr>
      <w:vertAlign w:val="superscript"/>
    </w:rPr>
  </w:style>
  <w:style w:type="paragraph" w:styleId="70">
    <w:name w:val="toc 1"/>
    <w:basedOn w:val="182"/>
    <w:next w:val="182"/>
    <w:uiPriority w:val="39"/>
    <w:unhideWhenUsed/>
    <w:pPr>
      <w:ind w:left="0" w:right="0" w:hanging="0"/>
      <w:spacing w:after="57"/>
    </w:pPr>
  </w:style>
  <w:style w:type="paragraph" w:styleId="71">
    <w:name w:val="toc 2"/>
    <w:basedOn w:val="182"/>
    <w:next w:val="18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2"/>
    <w:next w:val="18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2"/>
    <w:next w:val="18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2"/>
    <w:next w:val="18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2"/>
    <w:next w:val="18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2"/>
    <w:next w:val="18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2"/>
    <w:next w:val="18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2"/>
    <w:next w:val="18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2" w:default="1">
    <w:name w:val="Normal"/>
    <w:qFormat/>
  </w:style>
  <w:style w:type="paragraph" w:styleId="183">
    <w:name w:val="Heading 2"/>
    <w:basedOn w:val="182"/>
    <w:next w:val="182"/>
    <w:link w:val="193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paragraph" w:styleId="184">
    <w:name w:val="Heading 4"/>
    <w:basedOn w:val="182"/>
    <w:next w:val="182"/>
    <w:link w:val="190"/>
    <w:qFormat/>
    <w:unhideWhenUsed/>
    <w:rPr>
      <w:rFonts w:ascii="Calibri" w:hAnsi="Calibri" w:cs="Times New Roman" w:eastAsia="Times New Roman"/>
      <w:b/>
      <w:bCs/>
      <w:sz w:val="28"/>
      <w:szCs w:val="28"/>
      <w:lang w:val="uk-UA"/>
    </w:rPr>
    <w:pPr>
      <w:keepNext/>
      <w:spacing w:lineRule="auto" w:line="259" w:after="60" w:before="240"/>
      <w:outlineLvl w:val="3"/>
    </w:pPr>
  </w:style>
  <w:style w:type="character" w:styleId="185" w:default="1">
    <w:name w:val="Default Paragraph Font"/>
    <w:uiPriority w:val="1"/>
    <w:semiHidden/>
    <w:unhideWhenUsed/>
  </w:style>
  <w:style w:type="table" w:styleId="1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7" w:default="1">
    <w:name w:val="No List"/>
    <w:uiPriority w:val="99"/>
    <w:semiHidden/>
    <w:unhideWhenUsed/>
  </w:style>
  <w:style w:type="paragraph" w:styleId="188">
    <w:name w:val="Normal (Web)"/>
    <w:basedOn w:val="182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189">
    <w:name w:val="List Paragraph"/>
    <w:basedOn w:val="182"/>
    <w:qFormat/>
    <w:uiPriority w:val="34"/>
    <w:rPr>
      <w:rFonts w:ascii="Times New Roman" w:hAnsi="Times New Roman" w:cs="Times New Roman" w:eastAsia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character" w:styleId="190" w:customStyle="1">
    <w:name w:val="Заголовок 4 Знак"/>
    <w:basedOn w:val="185"/>
    <w:link w:val="184"/>
    <w:rPr>
      <w:rFonts w:ascii="Calibri" w:hAnsi="Calibri" w:cs="Times New Roman" w:eastAsia="Times New Roman"/>
      <w:b/>
      <w:bCs/>
      <w:sz w:val="28"/>
      <w:szCs w:val="28"/>
      <w:lang w:val="uk-UA"/>
    </w:rPr>
  </w:style>
  <w:style w:type="character" w:styleId="191" w:customStyle="1">
    <w:name w:val="Основной текст (2)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2"/>
      <w:szCs w:val="22"/>
      <w:u w:val="none"/>
      <w:lang w:val="uk-UA" w:bidi="uk-UA" w:eastAsia="uk-UA"/>
    </w:rPr>
  </w:style>
  <w:style w:type="character" w:styleId="192" w:customStyle="1">
    <w:name w:val="Заголовок №2 + 12 pt;Полужирный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lang w:val="uk-UA" w:bidi="uk-UA" w:eastAsia="uk-UA"/>
    </w:rPr>
  </w:style>
  <w:style w:type="character" w:styleId="193" w:customStyle="1">
    <w:name w:val="Заголовок 2 Знак"/>
    <w:basedOn w:val="185"/>
    <w:link w:val="183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paragraph" w:styleId="194">
    <w:name w:val="Balloon Text"/>
    <w:basedOn w:val="182"/>
    <w:link w:val="19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95" w:customStyle="1">
    <w:name w:val="Текст выноски Знак"/>
    <w:basedOn w:val="185"/>
    <w:link w:val="19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