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0"/>
        <w:jc w:val="center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0" t="0" r="9522" b="9522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РАДА</w:t>
      </w:r>
      <w:r>
        <w:rPr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шоста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26 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2019 року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№</w:t>
      </w:r>
      <w:r>
        <w:rPr>
          <w:rFonts w:ascii="Times New Roman" w:hAnsi="Times New Roman" w:cs="Times New Roman" w:eastAsia="Calibri"/>
          <w:sz w:val="28"/>
          <w:szCs w:val="28"/>
        </w:rPr>
        <w:t xml:space="preserve">649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ind w:left="0" w:right="5103" w:hanging="0"/>
        <w:jc w:val="both"/>
        <w:spacing w:lineRule="auto" w:line="240" w:after="170" w:afterAutospacing="0" w:before="17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передачу з державної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власності у власність Менської міської об’єднаної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нерухомого майна </w:t>
      </w:r>
      <w:r>
        <w:rPr>
          <w:sz w:val="28"/>
        </w:rPr>
      </w:r>
      <w:r/>
    </w:p>
    <w:p>
      <w:pPr>
        <w:ind w:left="0" w:right="0" w:firstLine="85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51 частини 1 статті 26, статтею 60 Закону України «Про місцеве самоврядування в Україні», статтею 7 Закону України «Про передачу об’єктів права державної та комуна</w:t>
      </w:r>
      <w:r>
        <w:rPr>
          <w:rFonts w:ascii="Times New Roman" w:hAnsi="Times New Roman" w:cs="Times New Roman"/>
          <w:sz w:val="28"/>
          <w:szCs w:val="28"/>
        </w:rPr>
        <w:t xml:space="preserve">льної власності», Законом України «Про добровільне об’єднання територіальних</w:t>
      </w:r>
      <w:r>
        <w:rPr>
          <w:rFonts w:ascii="Times New Roman" w:hAnsi="Times New Roman" w:cs="Times New Roman"/>
          <w:sz w:val="28"/>
          <w:szCs w:val="28"/>
        </w:rPr>
        <w:t xml:space="preserve"> громад», та з метою забезпечення оформлення процесу передачі нерухомого майна з державної власності у власність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</w:rPr>
        <w:t xml:space="preserve">міська рада: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згоду на передачу з державної власності зі сфери управління Державної служби статистики України у власність Менської міської об’єднаної територіальної громади нерухомого майна – </w:t>
      </w:r>
      <w:r>
        <w:rPr>
          <w:rFonts w:ascii="Times New Roman" w:hAnsi="Times New Roman" w:cs="Times New Roman"/>
          <w:sz w:val="28"/>
          <w:szCs w:val="28"/>
        </w:rPr>
        <w:t xml:space="preserve">адмінбудівлі</w:t>
      </w:r>
      <w:r>
        <w:rPr>
          <w:rFonts w:ascii="Times New Roman" w:hAnsi="Times New Roman" w:cs="Times New Roman"/>
          <w:sz w:val="28"/>
          <w:szCs w:val="28"/>
        </w:rPr>
        <w:t xml:space="preserve"> (А-2) площею </w:t>
      </w:r>
      <w:r>
        <w:rPr>
          <w:rFonts w:ascii="Times New Roman" w:hAnsi="Times New Roman" w:cs="Times New Roman"/>
          <w:sz w:val="28"/>
          <w:szCs w:val="28"/>
        </w:rPr>
        <w:t xml:space="preserve">653,7 кв.м</w:t>
      </w:r>
      <w:r>
        <w:rPr>
          <w:rFonts w:ascii="Times New Roman" w:hAnsi="Times New Roman" w:cs="Times New Roman"/>
          <w:sz w:val="28"/>
          <w:szCs w:val="28"/>
        </w:rPr>
        <w:t xml:space="preserve">. (в т. ч. сховище ПРУ – </w:t>
      </w:r>
      <w:r>
        <w:rPr>
          <w:rFonts w:ascii="Times New Roman" w:hAnsi="Times New Roman" w:cs="Times New Roman"/>
          <w:sz w:val="28"/>
          <w:szCs w:val="28"/>
        </w:rPr>
        <w:t xml:space="preserve">231,7 кв.м</w:t>
      </w:r>
      <w:r>
        <w:rPr>
          <w:rFonts w:ascii="Times New Roman" w:hAnsi="Times New Roman" w:cs="Times New Roman"/>
          <w:sz w:val="28"/>
          <w:szCs w:val="28"/>
        </w:rPr>
        <w:t xml:space="preserve">.), розміщеної на земельній ділянці площею </w:t>
      </w:r>
      <w:r>
        <w:rPr>
          <w:rFonts w:ascii="Times New Roman" w:hAnsi="Times New Roman" w:cs="Times New Roman"/>
          <w:sz w:val="28"/>
          <w:szCs w:val="28"/>
        </w:rPr>
        <w:t xml:space="preserve">0,0350 га</w:t>
      </w:r>
      <w:r>
        <w:rPr>
          <w:rFonts w:ascii="Times New Roman" w:hAnsi="Times New Roman" w:cs="Times New Roman"/>
          <w:sz w:val="28"/>
          <w:szCs w:val="28"/>
        </w:rPr>
        <w:t xml:space="preserve"> (кадастровий номер 7423010100:01:002:0259), та гаражу (Б-1) площею </w:t>
      </w:r>
      <w:r>
        <w:rPr>
          <w:rFonts w:ascii="Times New Roman" w:hAnsi="Times New Roman" w:cs="Times New Roman"/>
          <w:sz w:val="28"/>
          <w:szCs w:val="28"/>
        </w:rPr>
        <w:t xml:space="preserve">86 кв. м</w:t>
      </w:r>
      <w:r>
        <w:rPr>
          <w:rFonts w:ascii="Times New Roman" w:hAnsi="Times New Roman" w:cs="Times New Roman"/>
          <w:sz w:val="28"/>
          <w:szCs w:val="28"/>
        </w:rPr>
        <w:t xml:space="preserve">., розміщеного на земельній ділянці площею </w:t>
      </w:r>
      <w:r>
        <w:rPr>
          <w:rFonts w:ascii="Times New Roman" w:hAnsi="Times New Roman" w:cs="Times New Roman"/>
          <w:sz w:val="28"/>
          <w:szCs w:val="28"/>
        </w:rPr>
        <w:t xml:space="preserve">0,0206 га</w:t>
      </w:r>
      <w:r>
        <w:rPr>
          <w:rFonts w:ascii="Times New Roman" w:hAnsi="Times New Roman" w:cs="Times New Roman"/>
          <w:sz w:val="28"/>
          <w:szCs w:val="28"/>
        </w:rPr>
        <w:t xml:space="preserve"> (кадастровий номер 7423010100:01:002:0260), реєстраційний номер об'єкта нерухомого майна – 1295752774230, що знаходиться за адресою: </w:t>
      </w:r>
      <w:r>
        <w:rPr>
          <w:rFonts w:ascii="Times New Roman" w:hAnsi="Times New Roman" w:cs="Times New Roman"/>
          <w:sz w:val="28"/>
          <w:szCs w:val="28"/>
        </w:rPr>
        <w:t xml:space="preserve">15600, Чернігівська обл., Менський р-н, м. Мена, вул. Чернігівський шлях (вул. Жовтнева), 7.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разі передачі нерухомого майна, яке знаходиться за адресою: </w:t>
      </w:r>
      <w:r>
        <w:rPr>
          <w:rFonts w:ascii="Times New Roman" w:hAnsi="Times New Roman" w:cs="Times New Roman"/>
          <w:sz w:val="28"/>
          <w:szCs w:val="28"/>
        </w:rPr>
        <w:t xml:space="preserve">15600, Чернігівська обл., Менський р-н, м. Мена, вул. Чернігівський шлях (вул. Жовтнева), 7, з державної у власність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об’єднаної територіальної громади використовувати для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об’єднаної територіальної громади 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</w:t>
      </w:r>
      <w:r>
        <w:rPr>
          <w:rFonts w:ascii="Times New Roman" w:hAnsi="Times New Roman" w:cs="Times New Roman"/>
          <w:sz w:val="28"/>
          <w:szCs w:val="28"/>
        </w:rPr>
        <w:t xml:space="preserve">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 голови з  питань  діяльності виконкому – Вишняк Т.С.</w:t>
      </w:r>
      <w:r/>
    </w:p>
    <w:p>
      <w:pPr>
        <w:spacing w:lineRule="auto" w:line="240" w:after="0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r/>
    </w:p>
    <w:p>
      <w:pPr>
        <w:spacing w:lineRule="auto" w:line="240" w:after="0"/>
        <w:tabs>
          <w:tab w:val="left" w:pos="6663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1134" w:right="850" w:bottom="567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152" w:hanging="441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8" w:hanging="357"/>
      </w:pPr>
    </w:lvl>
    <w:lvl w:ilvl="2">
      <w:start w:val="1"/>
      <w:numFmt w:val="lowerRoman"/>
      <w:suff w:val="tab"/>
      <w:lvlText w:val="%3."/>
      <w:lvlJc w:val="right"/>
      <w:pPr>
        <w:ind w:left="2508" w:hanging="177"/>
      </w:pPr>
    </w:lvl>
    <w:lvl w:ilvl="3">
      <w:start w:val="1"/>
      <w:numFmt w:val="decimal"/>
      <w:suff w:val="tab"/>
      <w:lvlText w:val="%4."/>
      <w:lvlJc w:val="left"/>
      <w:pPr>
        <w:ind w:left="3228" w:hanging="357"/>
      </w:pPr>
    </w:lvl>
    <w:lvl w:ilvl="4">
      <w:start w:val="1"/>
      <w:numFmt w:val="lowerLetter"/>
      <w:suff w:val="tab"/>
      <w:lvlText w:val="%5."/>
      <w:lvlJc w:val="left"/>
      <w:pPr>
        <w:ind w:left="3948" w:hanging="357"/>
      </w:pPr>
    </w:lvl>
    <w:lvl w:ilvl="5">
      <w:start w:val="1"/>
      <w:numFmt w:val="lowerRoman"/>
      <w:suff w:val="tab"/>
      <w:lvlText w:val="%6."/>
      <w:lvlJc w:val="right"/>
      <w:pPr>
        <w:ind w:left="4668" w:hanging="177"/>
      </w:pPr>
    </w:lvl>
    <w:lvl w:ilvl="6">
      <w:start w:val="1"/>
      <w:numFmt w:val="decimal"/>
      <w:suff w:val="tab"/>
      <w:lvlText w:val="%7."/>
      <w:lvlJc w:val="left"/>
      <w:pPr>
        <w:ind w:left="5388" w:hanging="357"/>
      </w:pPr>
    </w:lvl>
    <w:lvl w:ilvl="7">
      <w:start w:val="1"/>
      <w:numFmt w:val="lowerLetter"/>
      <w:suff w:val="tab"/>
      <w:lvlText w:val="%8."/>
      <w:lvlJc w:val="left"/>
      <w:pPr>
        <w:ind w:left="6108" w:hanging="357"/>
      </w:pPr>
    </w:lvl>
    <w:lvl w:ilvl="8">
      <w:start w:val="1"/>
      <w:numFmt w:val="lowerRoman"/>
      <w:suff w:val="tab"/>
      <w:lvlText w:val="%9."/>
      <w:lvlJc w:val="right"/>
      <w:pPr>
        <w:ind w:left="6828" w:hanging="177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7"/>
    <w:next w:val="247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8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7"/>
    <w:next w:val="247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8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7"/>
    <w:next w:val="247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8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7"/>
    <w:next w:val="247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8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7"/>
    <w:next w:val="247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8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7"/>
    <w:next w:val="247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8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7"/>
    <w:next w:val="247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8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7"/>
    <w:next w:val="247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8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7"/>
    <w:next w:val="247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8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No Spacing"/>
    <w:qFormat/>
    <w:uiPriority w:val="1"/>
    <w:pPr>
      <w:spacing w:lineRule="auto" w:line="240" w:after="0" w:before="0"/>
    </w:pPr>
  </w:style>
  <w:style w:type="paragraph" w:styleId="199">
    <w:name w:val="Title"/>
    <w:basedOn w:val="247"/>
    <w:next w:val="247"/>
    <w:link w:val="2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0">
    <w:name w:val="Title Char"/>
    <w:basedOn w:val="248"/>
    <w:link w:val="199"/>
    <w:uiPriority w:val="10"/>
    <w:rPr>
      <w:sz w:val="48"/>
      <w:szCs w:val="48"/>
    </w:rPr>
  </w:style>
  <w:style w:type="paragraph" w:styleId="201">
    <w:name w:val="Subtitle"/>
    <w:basedOn w:val="247"/>
    <w:next w:val="247"/>
    <w:link w:val="202"/>
    <w:qFormat/>
    <w:uiPriority w:val="11"/>
    <w:rPr>
      <w:sz w:val="24"/>
      <w:szCs w:val="24"/>
    </w:rPr>
    <w:pPr>
      <w:spacing w:after="200" w:before="200"/>
    </w:pPr>
  </w:style>
  <w:style w:type="character" w:styleId="202">
    <w:name w:val="Subtitle Char"/>
    <w:basedOn w:val="248"/>
    <w:link w:val="201"/>
    <w:uiPriority w:val="11"/>
    <w:rPr>
      <w:sz w:val="24"/>
      <w:szCs w:val="24"/>
    </w:rPr>
  </w:style>
  <w:style w:type="paragraph" w:styleId="203">
    <w:name w:val="Quote"/>
    <w:basedOn w:val="247"/>
    <w:next w:val="247"/>
    <w:link w:val="204"/>
    <w:qFormat/>
    <w:uiPriority w:val="29"/>
    <w:rPr>
      <w:i/>
    </w:rPr>
    <w:pPr>
      <w:ind w:left="720" w:right="720"/>
    </w:pPr>
  </w:style>
  <w:style w:type="character" w:styleId="204">
    <w:name w:val="Quote Char"/>
    <w:link w:val="203"/>
    <w:uiPriority w:val="29"/>
    <w:rPr>
      <w:i/>
    </w:rPr>
  </w:style>
  <w:style w:type="paragraph" w:styleId="205">
    <w:name w:val="Intense Quote"/>
    <w:basedOn w:val="247"/>
    <w:next w:val="247"/>
    <w:link w:val="2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6">
    <w:name w:val="Intense Quote Char"/>
    <w:link w:val="205"/>
    <w:uiPriority w:val="30"/>
    <w:rPr>
      <w:i/>
    </w:rPr>
  </w:style>
  <w:style w:type="paragraph" w:styleId="207">
    <w:name w:val="Header"/>
    <w:basedOn w:val="247"/>
    <w:link w:val="2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8">
    <w:name w:val="Header Char"/>
    <w:basedOn w:val="248"/>
    <w:link w:val="207"/>
    <w:uiPriority w:val="99"/>
  </w:style>
  <w:style w:type="paragraph" w:styleId="209">
    <w:name w:val="Footer"/>
    <w:basedOn w:val="247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Footer Char"/>
    <w:basedOn w:val="248"/>
    <w:link w:val="209"/>
    <w:uiPriority w:val="99"/>
  </w:style>
  <w:style w:type="table" w:styleId="211">
    <w:name w:val="Table Grid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2">
    <w:name w:val="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3">
    <w:name w:val="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4">
    <w:name w:val="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5">
    <w:name w:val="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6">
    <w:name w:val="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7">
    <w:name w:val="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8">
    <w:name w:val="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9">
    <w:name w:val="Bordered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0">
    <w:name w:val="Bordered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1">
    <w:name w:val="Bordered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2">
    <w:name w:val="Bordered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3">
    <w:name w:val="Bordered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4">
    <w:name w:val="Bordered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5">
    <w:name w:val="Bordered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6">
    <w:name w:val="Bordered &amp; 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7">
    <w:name w:val="Bordered &amp; 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8">
    <w:name w:val="Bordered &amp; 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9">
    <w:name w:val="Bordered &amp; 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0">
    <w:name w:val="Bordered &amp; 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1">
    <w:name w:val="Bordered &amp; 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2">
    <w:name w:val="Bordered &amp; 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3">
    <w:name w:val="Hyperlink"/>
    <w:uiPriority w:val="99"/>
    <w:unhideWhenUsed/>
    <w:rPr>
      <w:color w:val="0000FF" w:themeColor="hyperlink"/>
      <w:u w:val="single"/>
    </w:rPr>
  </w:style>
  <w:style w:type="paragraph" w:styleId="234">
    <w:name w:val="footnote text"/>
    <w:basedOn w:val="247"/>
    <w:link w:val="235"/>
    <w:uiPriority w:val="99"/>
    <w:semiHidden/>
    <w:unhideWhenUsed/>
    <w:rPr>
      <w:sz w:val="18"/>
    </w:rPr>
    <w:pPr>
      <w:spacing w:lineRule="auto" w:line="240" w:after="40"/>
    </w:pPr>
  </w:style>
  <w:style w:type="character" w:styleId="235">
    <w:name w:val="Footnote Text Char"/>
    <w:link w:val="234"/>
    <w:uiPriority w:val="99"/>
    <w:rPr>
      <w:sz w:val="18"/>
    </w:rPr>
  </w:style>
  <w:style w:type="character" w:styleId="236">
    <w:name w:val="footnote reference"/>
    <w:basedOn w:val="248"/>
    <w:uiPriority w:val="99"/>
    <w:unhideWhenUsed/>
    <w:rPr>
      <w:vertAlign w:val="superscript"/>
    </w:rPr>
  </w:style>
  <w:style w:type="paragraph" w:styleId="237">
    <w:name w:val="toc 1"/>
    <w:basedOn w:val="247"/>
    <w:next w:val="247"/>
    <w:uiPriority w:val="39"/>
    <w:unhideWhenUsed/>
    <w:pPr>
      <w:ind w:left="0" w:right="0" w:hanging="0"/>
      <w:spacing w:after="57"/>
    </w:pPr>
  </w:style>
  <w:style w:type="paragraph" w:styleId="238">
    <w:name w:val="toc 2"/>
    <w:basedOn w:val="247"/>
    <w:next w:val="247"/>
    <w:uiPriority w:val="39"/>
    <w:unhideWhenUsed/>
    <w:pPr>
      <w:ind w:left="283" w:right="0" w:hanging="0"/>
      <w:spacing w:after="57"/>
    </w:pPr>
  </w:style>
  <w:style w:type="paragraph" w:styleId="239">
    <w:name w:val="toc 3"/>
    <w:basedOn w:val="247"/>
    <w:next w:val="247"/>
    <w:uiPriority w:val="39"/>
    <w:unhideWhenUsed/>
    <w:pPr>
      <w:ind w:left="567" w:right="0" w:hanging="0"/>
      <w:spacing w:after="57"/>
    </w:pPr>
  </w:style>
  <w:style w:type="paragraph" w:styleId="240">
    <w:name w:val="toc 4"/>
    <w:basedOn w:val="247"/>
    <w:next w:val="247"/>
    <w:uiPriority w:val="39"/>
    <w:unhideWhenUsed/>
    <w:pPr>
      <w:ind w:left="850" w:right="0" w:hanging="0"/>
      <w:spacing w:after="57"/>
    </w:pPr>
  </w:style>
  <w:style w:type="paragraph" w:styleId="241">
    <w:name w:val="toc 5"/>
    <w:basedOn w:val="247"/>
    <w:next w:val="247"/>
    <w:uiPriority w:val="39"/>
    <w:unhideWhenUsed/>
    <w:pPr>
      <w:ind w:left="1134" w:right="0" w:hanging="0"/>
      <w:spacing w:after="57"/>
    </w:pPr>
  </w:style>
  <w:style w:type="paragraph" w:styleId="242">
    <w:name w:val="toc 6"/>
    <w:basedOn w:val="247"/>
    <w:next w:val="247"/>
    <w:uiPriority w:val="39"/>
    <w:unhideWhenUsed/>
    <w:pPr>
      <w:ind w:left="1417" w:right="0" w:hanging="0"/>
      <w:spacing w:after="57"/>
    </w:pPr>
  </w:style>
  <w:style w:type="paragraph" w:styleId="243">
    <w:name w:val="toc 7"/>
    <w:basedOn w:val="247"/>
    <w:next w:val="247"/>
    <w:uiPriority w:val="39"/>
    <w:unhideWhenUsed/>
    <w:pPr>
      <w:ind w:left="1701" w:right="0" w:hanging="0"/>
      <w:spacing w:after="57"/>
    </w:pPr>
  </w:style>
  <w:style w:type="paragraph" w:styleId="244">
    <w:name w:val="toc 8"/>
    <w:basedOn w:val="247"/>
    <w:next w:val="247"/>
    <w:uiPriority w:val="39"/>
    <w:unhideWhenUsed/>
    <w:pPr>
      <w:ind w:left="1984" w:right="0" w:hanging="0"/>
      <w:spacing w:after="57"/>
    </w:pPr>
  </w:style>
  <w:style w:type="paragraph" w:styleId="245">
    <w:name w:val="toc 9"/>
    <w:basedOn w:val="247"/>
    <w:next w:val="247"/>
    <w:uiPriority w:val="39"/>
    <w:unhideWhenUsed/>
    <w:pPr>
      <w:ind w:left="2268" w:right="0" w:hanging="0"/>
      <w:spacing w:after="57"/>
    </w:pPr>
  </w:style>
  <w:style w:type="paragraph" w:styleId="246">
    <w:name w:val="TOC Heading"/>
    <w:uiPriority w:val="39"/>
    <w:unhideWhenUsed/>
  </w:style>
  <w:style w:type="paragraph" w:styleId="247" w:default="1">
    <w:name w:val="Normal"/>
    <w:qFormat/>
  </w:style>
  <w:style w:type="character" w:styleId="248" w:default="1">
    <w:name w:val="Default Paragraph Font"/>
    <w:uiPriority w:val="1"/>
    <w:semiHidden/>
    <w:unhideWhenUsed/>
  </w:style>
  <w:style w:type="table" w:styleId="2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0" w:default="1">
    <w:name w:val="No List"/>
    <w:uiPriority w:val="99"/>
    <w:semiHidden/>
    <w:unhideWhenUsed/>
  </w:style>
  <w:style w:type="paragraph" w:styleId="251">
    <w:name w:val="List Paragraph"/>
    <w:basedOn w:val="247"/>
    <w:qFormat/>
    <w:uiPriority w:val="34"/>
    <w:pPr>
      <w:contextualSpacing w:val="true"/>
      <w:ind w:left="720"/>
    </w:pPr>
  </w:style>
  <w:style w:type="paragraph" w:styleId="252">
    <w:name w:val="Balloon Text"/>
    <w:basedOn w:val="247"/>
    <w:link w:val="25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3" w:customStyle="1">
    <w:name w:val="Текст выноски Знак"/>
    <w:basedOn w:val="248"/>
    <w:link w:val="25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