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2" cy="733421"/>
                <wp:effectExtent l="19046" t="0" r="9521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(тридцять шоста</w:t>
      </w:r>
      <w:r>
        <w:rPr>
          <w:b/>
          <w:sz w:val="28"/>
          <w:szCs w:val="28"/>
          <w:lang w:eastAsia="ar-SA"/>
        </w:rPr>
        <w:t xml:space="preserve"> сесія сьомого скликання)</w:t>
      </w:r>
      <w:r/>
    </w:p>
    <w:p>
      <w:pPr>
        <w:pStyle w:val="31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РІШЕН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Я</w:t>
      </w:r>
      <w:r/>
    </w:p>
    <w:p>
      <w:pPr>
        <w:jc w:val="both"/>
        <w:tabs>
          <w:tab w:val="left" w:pos="4394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</w:rPr>
        <w:t xml:space="preserve"> грудня</w:t>
      </w:r>
      <w:r>
        <w:rPr>
          <w:sz w:val="28"/>
          <w:szCs w:val="28"/>
        </w:rPr>
        <w:t xml:space="preserve">  2019 року</w:t>
        <w:tab/>
        <w:t xml:space="preserve">№</w:t>
      </w:r>
      <w:r>
        <w:rPr>
          <w:sz w:val="28"/>
          <w:szCs w:val="28"/>
          <w:lang w:val="ru-RU"/>
        </w:rPr>
        <w:t xml:space="preserve"> 65</w:t>
      </w:r>
      <w:r>
        <w:rPr>
          <w:sz w:val="28"/>
          <w:szCs w:val="28"/>
          <w:lang w:val="ru-RU"/>
        </w:rPr>
        <w:t xml:space="preserve">0</w:t>
      </w:r>
      <w:r/>
    </w:p>
    <w:p>
      <w:pPr>
        <w:jc w:val="both"/>
        <w:tabs>
          <w:tab w:val="left" w:pos="6096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right="5102"/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  <w:t xml:space="preserve">Про затвердження </w:t>
      </w:r>
      <w:r>
        <w:rPr>
          <w:b/>
          <w:sz w:val="28"/>
          <w:szCs w:val="28"/>
          <w:lang w:eastAsia="uk-UA"/>
        </w:rPr>
        <w:t xml:space="preserve">Програми розвитку культури Менської об’єднаної територіальної громади на 2020-2022 роки</w:t>
      </w:r>
      <w:r/>
    </w:p>
    <w:p>
      <w:pPr>
        <w:jc w:val="both"/>
        <w:tabs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</w:r>
      <w:r/>
    </w:p>
    <w:p>
      <w:pPr>
        <w:pStyle w:val="320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 w:eastAsia="uk-UA"/>
        </w:rPr>
        <w:t xml:space="preserve">забезпечення сприятливих умов для здійснення комплексу організаційних та економічних заходів, спрямованих на підвищення ролі культури, збереження історико-культурної спадщини, обслуговування населення культурними послугами на сучасному рівні, </w:t>
      </w:r>
      <w:r>
        <w:rPr>
          <w:sz w:val="28"/>
          <w:szCs w:val="28"/>
          <w:lang w:val="uk-UA"/>
        </w:rPr>
        <w:t xml:space="preserve">що сприятиме формуванню закладами культури позитивного іміджу громади, </w:t>
      </w:r>
      <w:r>
        <w:rPr>
          <w:rFonts w:eastAsia="Batang"/>
          <w:sz w:val="28"/>
          <w:szCs w:val="28"/>
          <w:lang w:val="uk-UA"/>
        </w:rPr>
        <w:t xml:space="preserve">відповідно до Законів України «Про культуру»,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пп</w:t>
      </w:r>
      <w:r>
        <w:rPr>
          <w:sz w:val="28"/>
          <w:szCs w:val="28"/>
          <w:lang w:val="uk-UA"/>
        </w:rPr>
        <w:t xml:space="preserve">. 22 п.1 статті 26 Закону України «Про місцеве самоврядування в Україні», Менська міська рада</w:t>
      </w:r>
      <w:r/>
    </w:p>
    <w:p>
      <w:pPr>
        <w:pStyle w:val="314"/>
        <w:ind w:left="8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1.</w:t>
        <w:tab/>
        <w:t xml:space="preserve">Затвердити </w:t>
      </w:r>
      <w:r>
        <w:rPr>
          <w:sz w:val="28"/>
          <w:szCs w:val="28"/>
          <w:lang w:eastAsia="uk-UA"/>
        </w:rPr>
        <w:t xml:space="preserve">Програму розвитку культури Менської ОТГ на 2020-2022 роки, згідно додатків 1, 2 до даного рішення</w:t>
      </w:r>
      <w:r>
        <w:rPr>
          <w:rFonts w:eastAsia="Batang"/>
          <w:sz w:val="28"/>
          <w:szCs w:val="28"/>
          <w:lang w:eastAsia="ru-RU"/>
        </w:rPr>
        <w:t xml:space="preserve"> (додається).</w:t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2.</w:t>
      </w:r>
      <w:r>
        <w:rPr>
          <w:rFonts w:eastAsia="Batang"/>
          <w:sz w:val="28"/>
          <w:szCs w:val="28"/>
          <w:lang w:eastAsia="ru-RU"/>
        </w:rPr>
        <w:tab/>
        <w:t xml:space="preserve">В</w:t>
      </w:r>
      <w:r>
        <w:rPr>
          <w:rFonts w:eastAsia="Batang"/>
          <w:sz w:val="28"/>
          <w:szCs w:val="28"/>
          <w:lang w:eastAsia="ru-RU"/>
        </w:rPr>
        <w:t xml:space="preserve">ідділу культури Менської міської ради:</w:t>
      </w:r>
      <w:r>
        <w:rPr>
          <w:rFonts w:eastAsia="Batang"/>
          <w:sz w:val="28"/>
          <w:lang w:eastAsia="ru-RU"/>
        </w:rPr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1).</w:t>
      </w:r>
      <w:r>
        <w:rPr>
          <w:rFonts w:eastAsia="Batang"/>
          <w:sz w:val="28"/>
          <w:szCs w:val="28"/>
          <w:lang w:eastAsia="ru-RU"/>
        </w:rPr>
        <w:tab/>
        <w:t xml:space="preserve">Забезпечити організаційне виконання цієї Програми</w:t>
      </w:r>
      <w:r>
        <w:rPr>
          <w:rFonts w:eastAsia="Batang"/>
          <w:sz w:val="28"/>
          <w:lang w:eastAsia="ru-RU"/>
        </w:rPr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2).</w:t>
      </w:r>
      <w:r>
        <w:rPr>
          <w:rFonts w:eastAsia="Batang"/>
          <w:sz w:val="28"/>
          <w:szCs w:val="28"/>
          <w:lang w:eastAsia="ru-RU"/>
        </w:rPr>
        <w:tab/>
        <w:t xml:space="preserve">При формуванні бюджету Менської міської об’єднаної територіальної програми на 2020-2022 роки передбачати кошти на реалізацію заходів Програми, виходячи з її реальних завдань та можливостей бюджету.</w:t>
      </w:r>
      <w:r>
        <w:rPr>
          <w:rFonts w:eastAsia="Batang"/>
          <w:sz w:val="28"/>
          <w:lang w:eastAsia="ru-RU"/>
        </w:rPr>
      </w:r>
      <w:r/>
    </w:p>
    <w:p>
      <w:pPr>
        <w:jc w:val="both"/>
        <w:tabs>
          <w:tab w:val="left" w:pos="567" w:leader="none"/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3.</w:t>
      </w:r>
      <w:r>
        <w:rPr>
          <w:rFonts w:eastAsia="Batang"/>
          <w:sz w:val="28"/>
          <w:szCs w:val="28"/>
          <w:lang w:eastAsia="ru-RU"/>
        </w:rPr>
        <w:tab/>
        <w:t xml:space="preserve">К</w:t>
      </w:r>
      <w:r>
        <w:rPr>
          <w:rFonts w:eastAsia="Batang"/>
          <w:sz w:val="28"/>
          <w:szCs w:val="28"/>
          <w:lang w:eastAsia="ru-RU"/>
        </w:rPr>
        <w:t xml:space="preserve">онтроль за виконанням рішення покласти на заступника міського голови з питань діяльності виконавчого комітету Менської міської ради Т.С. Вишняк.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tabs>
          <w:tab w:val="left" w:pos="6096" w:leader="none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Міський голова</w:t>
      </w:r>
      <w:r>
        <w:rPr>
          <w:rFonts w:eastAsia="Calibri"/>
          <w:b/>
          <w:sz w:val="28"/>
          <w:szCs w:val="28"/>
        </w:rPr>
        <w:tab/>
        <w:t xml:space="preserve">Г.А.  Примаков</w:t>
      </w:r>
      <w:r/>
    </w:p>
    <w:p>
      <w:pPr>
        <w:shd w:val="nil" w:color="auto" w:fill="FFFFFF"/>
        <w:rPr>
          <w:szCs w:val="20"/>
        </w:rPr>
      </w:pPr>
      <w:r>
        <w:rPr>
          <w:szCs w:val="20"/>
        </w:rPr>
        <w:br w:type="page"/>
      </w:r>
      <w:r/>
    </w:p>
    <w:p>
      <w:pPr>
        <w:ind w:left="5669"/>
        <w:jc w:val="both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  <w:b/>
          <w:color w:val="000000"/>
          <w:szCs w:val="20"/>
        </w:rPr>
      </w:pPr>
      <w:r>
        <w:rPr>
          <w:szCs w:val="20"/>
        </w:rPr>
        <w:t xml:space="preserve">Додаток 1 до рішення 36 сесії Менської міської ради 7 скликання </w:t>
      </w:r>
      <w:r>
        <w:rPr>
          <w:color w:val="000000"/>
          <w:szCs w:val="20"/>
        </w:rPr>
        <w:t xml:space="preserve">«Про затвердження програми розвитку культури Менської міської об'єднаної територіальної громади на 2020-2022 роки»</w:t>
      </w:r>
      <w:r>
        <w:rPr>
          <w:rFonts w:eastAsia="Batang"/>
          <w:color w:val="000000" w:themeColor="text1"/>
          <w:szCs w:val="20"/>
          <w:lang w:eastAsia="ru-RU"/>
        </w:rPr>
        <w:t xml:space="preserve"> </w:t>
      </w:r>
      <w:r>
        <w:rPr>
          <w:szCs w:val="20"/>
        </w:rPr>
        <w:t xml:space="preserve">від 26.12.2019 </w:t>
      </w:r>
      <w:r>
        <w:rPr>
          <w:szCs w:val="20"/>
          <w:lang w:eastAsia="ru-RU"/>
        </w:rPr>
        <w:t xml:space="preserve"> № 65</w:t>
      </w:r>
      <w:r>
        <w:rPr>
          <w:szCs w:val="20"/>
          <w:lang w:eastAsia="ru-RU"/>
        </w:rPr>
        <w:t xml:space="preserve">0</w:t>
      </w:r>
      <w:r/>
    </w:p>
    <w:p>
      <w:pPr>
        <w:ind w:left="576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</w:r>
      <w:r/>
    </w:p>
    <w:p>
      <w:pPr>
        <w:ind w:left="6096"/>
        <w:jc w:val="both"/>
      </w:pPr>
      <w:r/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  <w:t xml:space="preserve">ПРОГРАМА РОЗВИТКУ КУЛЬТУРИ МЕНСЬКОЇ МІСЬКОЇ ОБ’ЄДНАНОЇ ТЕРИТОРІАЛЬНОЇ ГРОМАДИ НА 2020 -2022 РОКИ.</w:t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tabs>
          <w:tab w:val="left" w:pos="73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 xml:space="preserve">Мена</w:t>
      </w:r>
      <w:r/>
    </w:p>
    <w:p>
      <w:pPr>
        <w:jc w:val="center"/>
        <w:tabs>
          <w:tab w:val="left" w:pos="73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рік</w:t>
      </w:r>
      <w:r/>
    </w:p>
    <w:p>
      <w:pPr>
        <w:jc w:val="center"/>
      </w:pPr>
      <w:r>
        <w:rPr>
          <w:b/>
          <w:color w:val="000000"/>
          <w:sz w:val="50"/>
        </w:rPr>
        <w:br w:type="page"/>
      </w:r>
      <w:r/>
    </w:p>
    <w:p>
      <w:pPr>
        <w:jc w:val="center"/>
        <w:rPr>
          <w:b/>
        </w:rPr>
      </w:pPr>
      <w:r>
        <w:rPr>
          <w:b/>
          <w:color w:val="000000"/>
          <w:sz w:val="28"/>
        </w:rPr>
        <w:t xml:space="preserve">ПАСПОРТ</w:t>
      </w:r>
      <w:r/>
    </w:p>
    <w:p>
      <w:pPr>
        <w:jc w:val="center"/>
        <w:rPr>
          <w:b/>
        </w:rPr>
      </w:pPr>
      <w:r>
        <w:rPr>
          <w:b/>
          <w:color w:val="000000"/>
          <w:sz w:val="28"/>
        </w:rPr>
        <w:t xml:space="preserve">Програми розвитку культури Менської міської об'єднаної територіальної громади на 2020-2022 роки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tbl>
      <w:tblPr>
        <w:tblStyle w:val="317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3051"/>
        <w:gridCol w:w="630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Програма розвитку культури Менської міської об'єднаної територіальної громади на 2020-2022 роки.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  <w:highlight w:val="white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  <w:p>
            <w:pPr>
              <w:jc w:val="both"/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Фінансове </w:t>
            </w:r>
            <w:r>
              <w:rPr>
                <w:sz w:val="28"/>
                <w:szCs w:val="28"/>
                <w:shd w:val="clear" w:color="auto" w:fill="FFFFFF"/>
              </w:rPr>
              <w:t xml:space="preserve">управління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</w:tr>
      <w:tr>
        <w:trPr>
          <w:trHeight w:val="11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Метою Програми є підтримка закладів культури, підвищення ефективності і модернізації їх діяльності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 роки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Обсяги та джерела фінансування</w:t>
            </w:r>
            <w:r/>
          </w:p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 роки.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71658.4 тис. гривень з бюджету Менської міської об’єднаної територіальної громади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рік - 60087.9 тис. гривень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рік - 7892.5 тис. гривень</w:t>
            </w:r>
            <w:r/>
          </w:p>
          <w:p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2022 рік - 3678.0</w:t>
            </w:r>
            <w:r>
              <w:rPr>
                <w:color w:val="000000"/>
                <w:sz w:val="28"/>
              </w:rPr>
              <w:t xml:space="preserve">тис. гривень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створення умов для належного функціонування мережі закладів культури;</w:t>
            </w:r>
            <w:r/>
          </w:p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забезпечення просвітницької, виховної ролі національної культури;</w:t>
            </w:r>
            <w:r/>
          </w:p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збереження народних традицій та </w:t>
            </w:r>
            <w:r>
              <w:rPr>
                <w:color w:val="000000"/>
                <w:sz w:val="28"/>
              </w:rPr>
              <w:t xml:space="preserve">ремесел</w:t>
            </w:r>
            <w:r>
              <w:rPr>
                <w:color w:val="000000"/>
                <w:sz w:val="28"/>
              </w:rPr>
              <w:t xml:space="preserve">;</w:t>
            </w:r>
            <w:r/>
          </w:p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прискорення інтеграції української культури у світовий культурний простір, що сприятиме формуванню закладами культури позитивного іміджу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Заступник міського голови з питань діяльності виконкому міської ради</w:t>
            </w:r>
            <w:r/>
          </w:p>
        </w:tc>
      </w:tr>
    </w:tbl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r>
        <w:br w:type="page"/>
      </w:r>
      <w:r/>
    </w:p>
    <w:p>
      <w:pPr>
        <w:jc w:val="center"/>
      </w:pPr>
      <w:r>
        <w:rPr>
          <w:b/>
          <w:color w:val="000000"/>
          <w:sz w:val="28"/>
        </w:rPr>
        <w:t xml:space="preserve">Загальні положення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Підготовка Програми розвитку культури Менської міської об'єднаної територіальної громади на 2020-2022 роки (далі – Програма) зумовлена процесами модернізації національної системи культури в Україні. Необхідність змін галузі культури </w:t>
      </w:r>
      <w:r>
        <w:rPr>
          <w:sz w:val="28"/>
        </w:rPr>
        <w:t xml:space="preserve">зумовлена </w:t>
      </w:r>
      <w:r>
        <w:rPr>
          <w:color w:val="000000"/>
          <w:sz w:val="28"/>
        </w:rPr>
        <w:t xml:space="preserve">змінами у суспільстві. 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Програма визначає стратегічні пріоритети розвитку культури, визначає організаційні засади її реалізації, обґрунтовує ресурсні потреби. У ній враховано суспіл</w:t>
      </w:r>
      <w:r>
        <w:rPr>
          <w:sz w:val="28"/>
        </w:rPr>
        <w:t xml:space="preserve">ьні потреби населення щодо культурних послуг, розвиток інформаційних технологій, досягнення в галузі культурницьких новацій.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Реалізація Програми забезпечить створення сприятливих умов для здійснення комплексу організаційних та економічних заходів, спрямованих на підвищення ролі культури, історико-культурної спадщини та забезпечення населення культурними послугами на сучасному рів</w:t>
      </w:r>
      <w:r>
        <w:rPr>
          <w:sz w:val="28"/>
        </w:rPr>
        <w:t xml:space="preserve">ні.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Сфера культури Менської міської об'єднаної територіальної громади є складовою загальнодержавної системи культури. Вона включає культурно-освітні установи (КЗ «Менський Будинок культури» (19 філій), КЗ «Публічна бібліотека» (19 філій</w:t>
      </w:r>
      <w:r>
        <w:rPr>
          <w:color w:val="000000"/>
          <w:sz w:val="28"/>
        </w:rPr>
        <w:t xml:space="preserve">), КЗ «Менський краєзнавчий музей ім. В. Покотила», КЗ «Центр культури та дозвілля молоді»), які розташовані у межах адміністративно-територіальної Менської міської об'єднаної територіальної громади.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Керівництво функціонуванням і розвитком галузі культури здійснює відділ культури Менської </w:t>
      </w:r>
      <w:r>
        <w:rPr>
          <w:sz w:val="28"/>
        </w:rPr>
        <w:t xml:space="preserve">міської ради.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На сьогоднішній день заклади культури Менської міської об'єднаної територіальної громади потребують модернізації матеріально-технічної бази, впровадження найсучасніших інформаційних технологій, оновлення інтер’єрів, наповнення фондів бібліотек соціально зна</w:t>
      </w:r>
      <w:r>
        <w:rPr>
          <w:sz w:val="28"/>
        </w:rPr>
        <w:t xml:space="preserve">чущою літературою та періодикою.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КЗ «Менський будинок культури» з філіями – це найбільший комунальний заклад Менської місь</w:t>
      </w:r>
      <w:r>
        <w:rPr>
          <w:color w:val="000000"/>
          <w:sz w:val="28"/>
        </w:rPr>
        <w:t xml:space="preserve">кої об'єднаної територіальної громади в сфері культури, а також центр культурного розвитку міста </w:t>
      </w:r>
      <w:r>
        <w:rPr>
          <w:color w:val="000000"/>
          <w:sz w:val="28"/>
        </w:rPr>
        <w:t xml:space="preserve">Мена</w:t>
      </w:r>
      <w:r>
        <w:rPr>
          <w:color w:val="000000"/>
          <w:sz w:val="28"/>
        </w:rPr>
        <w:t xml:space="preserve"> та Менської громади. Будинок культури введений в експлуатацію в 1950 р. Загальна площа закладу 2397,5 </w:t>
      </w:r>
      <w:r>
        <w:rPr>
          <w:color w:val="000000"/>
          <w:sz w:val="28"/>
        </w:rPr>
        <w:t xml:space="preserve">кв.м</w:t>
      </w:r>
      <w:r>
        <w:rPr>
          <w:color w:val="000000"/>
          <w:sz w:val="28"/>
        </w:rPr>
        <w:t xml:space="preserve">., велика глядацька зала (625,6 </w:t>
      </w:r>
      <w:r>
        <w:rPr>
          <w:color w:val="000000"/>
          <w:sz w:val="28"/>
        </w:rPr>
        <w:t xml:space="preserve">кв.м</w:t>
      </w:r>
      <w:r>
        <w:rPr>
          <w:color w:val="000000"/>
          <w:sz w:val="28"/>
        </w:rPr>
        <w:t xml:space="preserve">./600 місць), мала глядацька зала (233,9 </w:t>
      </w:r>
      <w:r>
        <w:rPr>
          <w:color w:val="000000"/>
          <w:sz w:val="28"/>
        </w:rPr>
        <w:t xml:space="preserve">кв.м</w:t>
      </w:r>
      <w:r>
        <w:rPr>
          <w:color w:val="000000"/>
          <w:sz w:val="28"/>
        </w:rPr>
        <w:t xml:space="preserve">./198 місць), 2 танцювальних зали, 4 гримерні кімнати, 6 кімнат для гурткових занять та клубних формувань.</w:t>
      </w:r>
      <w:r/>
    </w:p>
    <w:p>
      <w:pPr>
        <w:ind w:firstLine="567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У Менському будинку культури, на даний момент, діє 19 клубних формувань, з них 8 колективів які носять звання «зразковий» та «народний». Колективи будинку культури беруть участь у сучасних конкурсах та фестивалях в галузі сучасної музики, виконавської майст</w:t>
      </w:r>
      <w:r>
        <w:rPr>
          <w:color w:val="000000"/>
          <w:sz w:val="28"/>
        </w:rPr>
        <w:t xml:space="preserve">ерності, хореографії, циркового мистецтва,  як в Україні , так і за кордоном. Капітального ремонту в приміщенні не проводилося з дня відкриття будинку культури. </w:t>
      </w:r>
      <w:r/>
    </w:p>
    <w:p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Будівля КЗ «Менського краєзнавчого музею ім. В. Ф. Покотила»   датується 1905 року побудови, на початку 1990-х було проведено реконструкцію даху, а саме поверх залізного даху покладено шиферне покриття. Нині дах починає протікати. Вікна були замінені в 50-х</w:t>
      </w:r>
      <w:r>
        <w:rPr>
          <w:sz w:val="28"/>
          <w:szCs w:val="28"/>
        </w:rPr>
        <w:t xml:space="preserve"> роках 20 ст. і також перебувають в аварійному стані. Музей щороку відвідують більше 5 тис. туристів, в тому числі іноземців. Щороку кількість туристів збільшується як мінімум на 2 тис.. Все це та багато іншого говорить про музей як один із центрів розвитку</w:t>
      </w:r>
      <w:r>
        <w:rPr>
          <w:sz w:val="28"/>
          <w:szCs w:val="28"/>
        </w:rPr>
        <w:t xml:space="preserve"> туризму </w:t>
      </w:r>
      <w:r>
        <w:rPr>
          <w:sz w:val="28"/>
          <w:szCs w:val="28"/>
        </w:rPr>
        <w:t xml:space="preserve">громади. Щоб збільшити привабливість закладу та покращити санітарно-гігієнічні умови праці слід негайно провести реконструкцію даху, заміну вікон, реконструкцію ганку та встановлення пандусу. </w:t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Художня галерея що міститься на другому поверсі КЗ «Менський будинок культури» , перебуває в застарілому, не естетичному вигляді. Кімната має перетворитися на сучасний виставковий зал. Слід створити сучасне освітлення, кріплення для картин, вітрини для пост</w:t>
      </w:r>
      <w:r>
        <w:rPr>
          <w:sz w:val="28"/>
          <w:szCs w:val="28"/>
        </w:rPr>
        <w:t xml:space="preserve">ійно діючої виставки гончарних виробів «</w:t>
      </w:r>
      <w:r>
        <w:rPr>
          <w:sz w:val="28"/>
          <w:szCs w:val="28"/>
          <w:lang w:val="en-US"/>
        </w:rPr>
        <w:t xml:space="preserve">CeramicArtZoo</w:t>
      </w:r>
      <w:r>
        <w:rPr>
          <w:sz w:val="28"/>
          <w:szCs w:val="28"/>
        </w:rPr>
        <w:t xml:space="preserve">» та прикладного мистецтва.</w:t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Народний музей в с. Стольне знаходиться в аварійному стані. Приміщення музею та експозиція потребує негайного ремонту. В майбутньому музей може стати філіалом експозиції кераміки та історії села Стольне. </w:t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Всі вище перелічені об’єкти несуть значний туристичний потенціал Менської ОТГ, і потребують  капіталовкладень.</w:t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КЗ « Менська публічна бібліотека» з 19 філіями – це новостворений соціальний заклад, який запроваджує інноваційні форми і методи роботи і прагне йти в ногу з часом.</w:t>
      </w:r>
      <w:r/>
    </w:p>
    <w:p>
      <w:pPr>
        <w:ind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Основною метою закладу є вдосконалення і функціональне розширення діяльності даних закладів як інформаційних, краєзнавчих, соціокультурних та освітніх центрів для різних ка</w:t>
      </w:r>
      <w:r>
        <w:rPr>
          <w:color w:val="000000"/>
          <w:sz w:val="28"/>
          <w:szCs w:val="28"/>
        </w:rPr>
        <w:t xml:space="preserve">тегорій населення, які сприяють створенню умов підвищення культурно – освітнього рівня громадян, і особливо молоді, на основі розвитку і зміцнення матеріально-технічної бази бібліотек.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Бібліотека стане місцем проведення вільного часу читачів, простором для спілкування жителів громади та виконуватиме виховну та освітню функцію з молодшими користувачами бібліотеки. </w:t>
      </w:r>
      <w:r>
        <w:rPr>
          <w:sz w:val="28"/>
          <w:szCs w:val="28"/>
        </w:rPr>
        <w:t xml:space="preserve">П</w:t>
      </w:r>
      <w:r>
        <w:rPr>
          <w:sz w:val="28"/>
          <w:szCs w:val="28"/>
          <w:shd w:val="clear" w:color="auto" w:fill="FFFFFF"/>
        </w:rPr>
        <w:t xml:space="preserve">ередбачається створення в  бібліотеці культурно-</w:t>
      </w:r>
      <w:r>
        <w:rPr>
          <w:sz w:val="28"/>
          <w:szCs w:val="28"/>
          <w:shd w:val="clear" w:color="auto" w:fill="FFFFFF"/>
        </w:rPr>
        <w:t xml:space="preserve">дозвіллєвого</w:t>
      </w:r>
      <w:r>
        <w:rPr>
          <w:sz w:val="28"/>
          <w:szCs w:val="28"/>
          <w:shd w:val="clear" w:color="auto" w:fill="FFFFFF"/>
        </w:rPr>
        <w:t xml:space="preserve"> простору «</w:t>
      </w:r>
      <w:r>
        <w:rPr>
          <w:sz w:val="28"/>
          <w:szCs w:val="28"/>
          <w:shd w:val="clear" w:color="auto" w:fill="FFFFFF"/>
        </w:rPr>
        <w:t xml:space="preserve">Бібліоняня</w:t>
      </w:r>
      <w:r>
        <w:rPr>
          <w:sz w:val="28"/>
          <w:szCs w:val="28"/>
          <w:shd w:val="clear" w:color="auto" w:fill="FFFFFF"/>
        </w:rPr>
        <w:t xml:space="preserve">» для проведення змістовного дозвілля та творчого розвитку дітей, зокрема - надання підтримки мамам для нетривалого перебування дітей віком від 4 до 6 років в комфортному та безпечному середовищі; допомогу учням у підготовці домашніх завдань. Створення</w:t>
      </w:r>
      <w:r>
        <w:rPr>
          <w:sz w:val="28"/>
          <w:szCs w:val="28"/>
          <w:shd w:val="clear" w:color="auto" w:fill="FFFFFF"/>
        </w:rPr>
        <w:t xml:space="preserve"> при бібліотеці </w:t>
      </w:r>
      <w:r>
        <w:rPr>
          <w:sz w:val="28"/>
          <w:szCs w:val="28"/>
          <w:shd w:val="clear" w:color="auto" w:fill="FFFFFF"/>
        </w:rPr>
        <w:t xml:space="preserve">антикафе</w:t>
      </w:r>
      <w:r>
        <w:rPr>
          <w:sz w:val="28"/>
          <w:szCs w:val="28"/>
          <w:shd w:val="clear" w:color="auto" w:fill="FFFFFF"/>
        </w:rPr>
        <w:t xml:space="preserve"> -  </w:t>
      </w:r>
      <w:r>
        <w:rPr>
          <w:sz w:val="28"/>
          <w:szCs w:val="28"/>
        </w:rPr>
        <w:t xml:space="preserve">це новий формат закладу, призначення якого виключно для культурного відпочинку, зустрічей, роботи та проведення дозвілля. Тут  можна дивитися кіно, слухати семінари, працювати, спілкуватись, проводити музичні чи поетичні вечори, майстер – класи, настільні ч</w:t>
      </w:r>
      <w:r>
        <w:rPr>
          <w:sz w:val="28"/>
          <w:szCs w:val="28"/>
        </w:rPr>
        <w:t xml:space="preserve">и відео ігри, тренінги.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Придбання </w:t>
      </w:r>
      <w:r>
        <w:rPr>
          <w:sz w:val="28"/>
          <w:szCs w:val="28"/>
        </w:rPr>
        <w:t xml:space="preserve">транпортного</w:t>
      </w:r>
      <w:r>
        <w:rPr>
          <w:sz w:val="28"/>
          <w:szCs w:val="28"/>
        </w:rPr>
        <w:t xml:space="preserve"> засобу – </w:t>
      </w:r>
      <w:r>
        <w:rPr>
          <w:sz w:val="28"/>
          <w:szCs w:val="28"/>
        </w:rPr>
        <w:t xml:space="preserve">бібліобусу</w:t>
      </w:r>
      <w:r>
        <w:rPr>
          <w:sz w:val="28"/>
          <w:szCs w:val="28"/>
        </w:rPr>
        <w:t xml:space="preserve">, обладнаного полицями, вітринами для транспортування книг значно покращить обслуговування бібліотекою  маленьких та віддалених населених пунктів, де відсутні стаціонарні бібліотеки. </w:t>
      </w:r>
      <w:r/>
    </w:p>
    <w:p>
      <w:pPr>
        <w:ind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Впровадження автоматизованої бібліотечної інформаційної системи АБІС «УФД/ Бібліотека» дасть можливість комплексної автоматизації бібліотеки, яка врахує всі </w:t>
      </w:r>
      <w:r>
        <w:rPr>
          <w:sz w:val="28"/>
          <w:szCs w:val="28"/>
        </w:rPr>
        <w:t xml:space="preserve">вирбничі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цикли,</w:t>
      </w:r>
      <w:r>
        <w:rPr>
          <w:sz w:val="28"/>
          <w:szCs w:val="28"/>
          <w:shd w:val="clear" w:color="auto" w:fill="FFFFFF"/>
        </w:rPr>
        <w:t xml:space="preserve">що</w:t>
      </w:r>
      <w:r>
        <w:rPr>
          <w:sz w:val="28"/>
          <w:szCs w:val="28"/>
          <w:shd w:val="clear" w:color="auto" w:fill="FFFFFF"/>
        </w:rPr>
        <w:t xml:space="preserve"> забезпечує, з погляду конкретної бібліотеки, максимально комфортний і адекватний доступ користувачів до фондів бібліотеки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Оскільки місто </w:t>
      </w:r>
      <w:r>
        <w:rPr>
          <w:color w:val="000000"/>
          <w:sz w:val="28"/>
        </w:rPr>
        <w:t xml:space="preserve">Мена</w:t>
      </w:r>
      <w:r>
        <w:rPr>
          <w:color w:val="000000"/>
          <w:sz w:val="28"/>
        </w:rPr>
        <w:t xml:space="preserve"> є центром Менської міської об'єднаної територіальної громади на території якої проживає велика кількість дітей та молоді віком від 18 років. Завданнями представників органів влади є організація дозвілля дітей, </w:t>
      </w:r>
      <w:r>
        <w:rPr>
          <w:color w:val="000000"/>
          <w:sz w:val="28"/>
        </w:rPr>
        <w:t xml:space="preserve">молоді та інших верств населення, їх духовний, естетичний та культурний розвиток. Осередком </w:t>
      </w:r>
      <w:r>
        <w:rPr>
          <w:sz w:val="28"/>
        </w:rPr>
        <w:t xml:space="preserve">такого розвитку є КЗ «Центр культури та дозвілля молоді», приміщення якого на даний час знаходиться у незадовільному стані та потребує </w:t>
      </w:r>
      <w:r>
        <w:rPr>
          <w:sz w:val="28"/>
        </w:rPr>
        <w:t xml:space="preserve">ревіталізаціїз</w:t>
      </w:r>
      <w:r>
        <w:rPr>
          <w:sz w:val="28"/>
        </w:rPr>
        <w:t xml:space="preserve"> використанням енергозберігаючих технологій.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Оперативність послуг закладів культури знижується через проблемні питання, що існують у сфері культури: слабка матеріально-технічна база, забезпеченість приміщень сільських клубних закладів комп’ютеризованими робочими місцями з можливістю для відвідувачів з</w:t>
      </w:r>
      <w:r>
        <w:rPr>
          <w:sz w:val="28"/>
        </w:rPr>
        <w:t xml:space="preserve">акладів доступу до мережі Інтернет. Також через відсутність регулярного транспортного сполучення між населеними пунктами громади, важко забезпечити рівний доступ до культурних та мистецьк</w:t>
      </w:r>
      <w:r>
        <w:rPr>
          <w:color w:val="000000"/>
          <w:sz w:val="28"/>
        </w:rPr>
        <w:t xml:space="preserve">их заходів, матеріальних та духовних надбань всім жителям громади. Через відсутність відповідного автотранспорту для аматорських та художніх колективів гостро стоїть питання їх переміщення по території громади в період проведення виїзних святкових заходів в</w:t>
      </w:r>
      <w:r>
        <w:rPr>
          <w:color w:val="000000"/>
          <w:sz w:val="28"/>
        </w:rPr>
        <w:t xml:space="preserve"> місті або по території громади, а також питання участі у різноманітних фестивалях та конкурсах, які відбуваються в інших громадах, районах, та областях. Транспорт для виїзних концертних програм замовляється у перевізників, витрачаються кошти , які б пішли </w:t>
      </w:r>
      <w:r>
        <w:rPr>
          <w:color w:val="000000"/>
          <w:sz w:val="28"/>
        </w:rPr>
        <w:t xml:space="preserve">на розвиток колективів.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highlight w:val="white"/>
          <w:shd w:val="clear" w:color="auto" w:fill="FFFFFF" w:themeFill="background1"/>
        </w:rPr>
        <w:t xml:space="preserve">Модернізація </w:t>
      </w:r>
      <w:r>
        <w:rPr>
          <w:color w:val="000000"/>
          <w:sz w:val="28"/>
        </w:rPr>
        <w:t xml:space="preserve">галузі </w:t>
      </w:r>
      <w:r>
        <w:rPr>
          <w:sz w:val="28"/>
        </w:rPr>
        <w:t xml:space="preserve">культури </w:t>
      </w:r>
      <w:r>
        <w:rPr>
          <w:color w:val="000000"/>
          <w:sz w:val="28"/>
        </w:rPr>
        <w:t xml:space="preserve">спрямована на підвищення якості надання відповідних послуг та формування єдиного соціокультурного простору. Це вимагає концентрації зусиль органів місцевого самоврядування, громадських організацій, направлених на зміцнення матеріально-технічної бази галузі </w:t>
      </w:r>
      <w:r>
        <w:rPr>
          <w:color w:val="000000"/>
          <w:sz w:val="28"/>
        </w:rPr>
        <w:t xml:space="preserve">культури, забезпечення відповідними кадрами, розробки та запровадження нових механізмів розвитку.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Зміни в галузі культури повинні базуватися на традиціях народної культури, напрацюваннях попередніх років, а також повинні відповідати сучасним цінностям. Закладам культури потрібна підтримка щодо матеріально-технічної бази, але лише з огляду на поставлені </w:t>
      </w:r>
      <w:r>
        <w:rPr>
          <w:color w:val="000000"/>
          <w:sz w:val="28"/>
        </w:rPr>
        <w:t xml:space="preserve">ними цілі та оцінку досягнутих результатів. Водночас потрібні заходи зі збільшення комфортності перебування в закладах культури, особливо в </w:t>
      </w:r>
      <w:r>
        <w:rPr>
          <w:sz w:val="28"/>
        </w:rPr>
        <w:t xml:space="preserve">зимовий </w:t>
      </w:r>
      <w:r>
        <w:rPr>
          <w:color w:val="000000"/>
          <w:sz w:val="28"/>
        </w:rPr>
        <w:t xml:space="preserve">період. Сучасні попити громадян потребують  підключення закладів культури до швидкісного Інтернету, створення біля них зони вільного </w:t>
      </w:r>
      <w:r>
        <w:rPr>
          <w:color w:val="000000"/>
          <w:sz w:val="28"/>
        </w:rPr>
        <w:t xml:space="preserve">wi-fi</w:t>
      </w:r>
      <w:r>
        <w:rPr>
          <w:color w:val="000000"/>
          <w:sz w:val="28"/>
        </w:rPr>
        <w:t xml:space="preserve">. Все це аспекти зумовлюють необхідність прийняття Програми розвитку культури Менської міської об'єднаної територіальної громади на період до 2022 року.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Зазначена Програма є комплексною та </w:t>
      </w:r>
      <w:r>
        <w:rPr>
          <w:color w:val="000000"/>
          <w:sz w:val="28"/>
        </w:rPr>
        <w:t xml:space="preserve">обʼєднує</w:t>
      </w:r>
      <w:r>
        <w:rPr>
          <w:color w:val="000000"/>
          <w:sz w:val="28"/>
        </w:rPr>
        <w:t xml:space="preserve"> всі напрями діяльності у сфері культури, </w:t>
      </w:r>
      <w:r>
        <w:rPr>
          <w:sz w:val="28"/>
        </w:rPr>
        <w:t xml:space="preserve">передбачає </w:t>
      </w:r>
      <w:r>
        <w:rPr>
          <w:color w:val="000000"/>
          <w:sz w:val="28"/>
        </w:rPr>
        <w:t xml:space="preserve">удосконалення галузі культури, вироблення нової стратегії із врахуванням перспективи якісних змін.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Програми </w:t>
      </w:r>
      <w:r/>
    </w:p>
    <w:p>
      <w:pPr>
        <w:ind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Метою програми є створення умов для реалізації державної культурної політики на території Менської міської об’єднаної територіальної громади, задоволення культурних потреб населення, створення умов для реалізації творчих здібностей обдарованих дітей та моло</w:t>
      </w:r>
      <w:r>
        <w:rPr>
          <w:color w:val="000000"/>
          <w:sz w:val="28"/>
        </w:rPr>
        <w:t xml:space="preserve">ді, збереження, відродження і розвиток народних художніх промислів, створення належних умов для охорони та збереження нематеріальної культурної спадщини, охорони та збереження пам’яток музейного фонду, </w:t>
      </w:r>
      <w:r>
        <w:rPr>
          <w:sz w:val="28"/>
        </w:rPr>
        <w:t xml:space="preserve">підвищення ролі бібліотек як центрів </w:t>
      </w:r>
      <w:r>
        <w:rPr>
          <w:sz w:val="28"/>
        </w:rPr>
        <w:t xml:space="preserve">культури.</w:t>
      </w:r>
      <w:r>
        <w:rPr>
          <w:color w:val="000000"/>
          <w:sz w:val="28"/>
          <w:szCs w:val="28"/>
          <w:lang w:bidi="ar-SA" w:eastAsia="uk-UA"/>
        </w:rPr>
        <w:t xml:space="preserve">Популяризувати</w:t>
      </w:r>
      <w:r>
        <w:rPr>
          <w:color w:val="000000"/>
          <w:sz w:val="28"/>
          <w:szCs w:val="28"/>
          <w:lang w:bidi="ar-SA" w:eastAsia="uk-UA"/>
        </w:rPr>
        <w:t xml:space="preserve"> бібліотеку як </w:t>
      </w:r>
      <w:r>
        <w:rPr>
          <w:color w:val="000000"/>
          <w:sz w:val="28"/>
          <w:szCs w:val="28"/>
          <w:lang w:bidi="ar-SA" w:eastAsia="uk-UA"/>
        </w:rPr>
        <w:t xml:space="preserve">краєзнавчо</w:t>
      </w:r>
      <w:r>
        <w:rPr>
          <w:color w:val="000000"/>
          <w:sz w:val="28"/>
          <w:szCs w:val="28"/>
          <w:lang w:bidi="ar-SA" w:eastAsia="uk-UA"/>
        </w:rPr>
        <w:t xml:space="preserve">-інформаційний центр та культурно-дозвільний простір із сприятливими умовами для організації спілкування людей</w:t>
      </w:r>
      <w:r/>
    </w:p>
    <w:p>
      <w:pPr>
        <w:jc w:val="both"/>
        <w:rPr>
          <w:color w:val="000000"/>
          <w:sz w:val="28"/>
          <w:szCs w:val="28"/>
          <w:lang w:bidi="ar-SA" w:eastAsia="uk-UA"/>
        </w:rPr>
      </w:pPr>
      <w:r>
        <w:rPr>
          <w:b/>
          <w:color w:val="000000"/>
          <w:sz w:val="28"/>
        </w:rPr>
        <w:t xml:space="preserve">Основні завдання Програми</w:t>
      </w:r>
      <w:r/>
    </w:p>
    <w:p>
      <w:pPr>
        <w:ind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Створення сучасної бібліотеки нового типу з адаптованим простором для вимогливого користувача.</w:t>
      </w:r>
      <w:r/>
    </w:p>
    <w:p>
      <w:pPr>
        <w:ind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Поповнення бібліотечного фонду художньою та галузевою літературою;</w:t>
      </w:r>
      <w:r/>
    </w:p>
    <w:p>
      <w:pPr>
        <w:ind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інформаційними ресурсами на паперових та електронних носіях, Інтернет - ресурсами.</w:t>
      </w:r>
      <w:r/>
    </w:p>
    <w:p>
      <w:pPr>
        <w:ind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SymbolMT"/>
          <w:color w:val="000000"/>
          <w:sz w:val="28"/>
          <w:szCs w:val="28"/>
          <w:lang w:bidi="ar-SA" w:eastAsia="uk-UA"/>
        </w:rPr>
        <w:t xml:space="preserve">Створення</w:t>
      </w:r>
      <w:r>
        <w:rPr>
          <w:color w:val="000000"/>
          <w:sz w:val="28"/>
          <w:szCs w:val="28"/>
          <w:lang w:bidi="ar-SA" w:eastAsia="uk-UA"/>
        </w:rPr>
        <w:t xml:space="preserve"> матеріально-технічної бази бібліотеки для впровадження інноваційних форм роботи , що забезпечують вільний і рівний доступ користувачів до інформації.</w:t>
      </w:r>
      <w:r/>
    </w:p>
    <w:p>
      <w:pPr>
        <w:ind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Автоматизація бібліотечних процесів.</w:t>
      </w:r>
      <w:r/>
    </w:p>
    <w:p>
      <w:pPr>
        <w:ind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Розширення партнерських </w:t>
      </w:r>
      <w:r>
        <w:rPr>
          <w:color w:val="000000"/>
          <w:sz w:val="28"/>
          <w:szCs w:val="28"/>
          <w:lang w:bidi="ar-SA" w:eastAsia="uk-UA"/>
        </w:rPr>
        <w:t xml:space="preserve">зв'язків</w:t>
      </w:r>
      <w:r>
        <w:rPr>
          <w:color w:val="000000"/>
          <w:sz w:val="28"/>
          <w:szCs w:val="28"/>
          <w:lang w:bidi="ar-SA" w:eastAsia="uk-UA"/>
        </w:rPr>
        <w:t xml:space="preserve"> і співпраці зі всіма зацікавленими особами і організаціями у підтримці та просуванні інформаційних послуг.</w:t>
      </w:r>
      <w:r/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Забезпечення організаційних та економічних умов для подальшого розвитку  культосвітньої та туристичної сфери громади.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</w:rPr>
        <w:t xml:space="preserve">В</w:t>
      </w:r>
      <w:r>
        <w:rPr>
          <w:sz w:val="28"/>
          <w:highlight w:val="white"/>
        </w:rPr>
        <w:t xml:space="preserve">досконалення реалізації державної політики в сфері культури, збереження та розвиток існуючої мережі закладів культури недопущення перепрофілювання, поліпшення стану матеріально-технічної бази, підвищення ролі закладів культури в соціально-культурному житті.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Відродження української та інших національних культур, мов, збереження культурних традицій населених пунктів громади.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Створення умов для розвитку самодіяльної народної творчості, популяризація кращих мистецьких надбань з населених пунктів громади , проведення різноманітних культурних проектів, фестивалів і конкурсів, розвиток народної творчості та популяризація національни</w:t>
      </w:r>
      <w:r>
        <w:rPr>
          <w:sz w:val="28"/>
          <w:highlight w:val="white"/>
        </w:rPr>
        <w:t xml:space="preserve">х звичаїв і обрядів.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Естетичне та духовне виховання дітей та юнацтва, підтримка обдарованої молоді.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Розвиток туристичної галузі.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Збільшення обсягів видатків на розвиток культури.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Організація роботи щодо забезпечення реалізації на території об’єднаної територіальної громади державної політики у сфері культури.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Формування засобами культури моральних та духовних цінностей, спрямованих на відродження та виховання патріотизму;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Спрямування культурно-просвітницької діяльності на залучення до активного духовного життя всіх вікових соціально-демографічних груп: дітей, підлітків, молоді, людей похилого віку;</w:t>
      </w:r>
      <w:r/>
    </w:p>
    <w:p>
      <w:pPr>
        <w:ind w:firstLine="567"/>
        <w:jc w:val="both"/>
        <w:tabs>
          <w:tab w:val="left" w:pos="567" w:leader="none"/>
          <w:tab w:val="left" w:pos="567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Збереження та розвиток існуючої мережі закладів культури, її повноцінного функціонування в сучасних умовах.</w:t>
      </w:r>
      <w:r/>
    </w:p>
    <w:p>
      <w:pPr>
        <w:jc w:val="center"/>
      </w:pPr>
      <w:r>
        <w:rPr>
          <w:b/>
          <w:color w:val="000000"/>
          <w:sz w:val="28"/>
        </w:rPr>
        <w:t xml:space="preserve">Очікувані результати виконання Програми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Забезпечення умов для розвитку доступної та якісної системи культури в Менській ОТГ відповідно до вимог суспільства, запитів особистості та потреб держави.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Гарантування свободи художньої творчості, участь громадських організацій в культурному житті громади. Створення оптимальних умов для реалізації б</w:t>
      </w:r>
      <w:r>
        <w:rPr>
          <w:sz w:val="28"/>
        </w:rPr>
        <w:t xml:space="preserve">ібліотекою своїх соціальних функцій та підвищення її ролі як центру культури та інформації.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Оновлення матеріально-технічної бази закладів культури, розрахованих на сучасні вимоги, розширення їх функцій, збільшення відвідуваності, вільний доступ жителів громади до інформаційних ресурсів. Збереження, відродження та подальший розвиток традиційних нар</w:t>
      </w:r>
      <w:r>
        <w:rPr>
          <w:sz w:val="28"/>
        </w:rPr>
        <w:t xml:space="preserve">одних художніх промислів, збереження кращих зразків нематеріальної культури, охорони та збереження пам’яток музейних фондів. Забезпечення ефективного використання бюджетних коштів та залучення додаткових коштів з інших джерел. Сприяння інтеграції культури М</w:t>
      </w:r>
      <w:r>
        <w:rPr>
          <w:sz w:val="28"/>
        </w:rPr>
        <w:t xml:space="preserve">енської міської об'єднаної територіальної громади у національний та світовий культурний простір.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Соціальний ефект реалізації Програми полягатиме у створенні, використанні, розповсюдженні, збереженні культурної спадщини та культурних цінностей і спр</w:t>
      </w:r>
      <w:r>
        <w:rPr>
          <w:color w:val="000000"/>
          <w:sz w:val="28"/>
        </w:rPr>
        <w:t xml:space="preserve">ямований на забезпечення підвищення якості і доступу до них - передбачається приєднання закладів культури до мережі Інтернет придбання комп’ютерної та офісної техніки, автотранспорту для виїздів працівників культури та художніх колективів району та покращен</w:t>
      </w:r>
      <w:r>
        <w:rPr>
          <w:color w:val="000000"/>
          <w:sz w:val="28"/>
        </w:rPr>
        <w:t xml:space="preserve">ня їх гастрольної діяльності, створення нових туристичних об’єктів, збільшення обсягів надання платних послуг, що сприятиме зміцненню матеріально-технічної бази та подальшому розвитку діяльності закладів, підпорядкованих Відділу культури.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Терміни </w:t>
      </w:r>
      <w:r>
        <w:rPr>
          <w:sz w:val="28"/>
        </w:rPr>
        <w:t xml:space="preserve">реалізації </w:t>
      </w:r>
      <w:r>
        <w:rPr>
          <w:color w:val="000000"/>
          <w:sz w:val="28"/>
        </w:rPr>
        <w:t xml:space="preserve">Програми 2020-2022 рр. </w:t>
      </w:r>
      <w:r/>
    </w:p>
    <w:p>
      <w:pPr>
        <w:jc w:val="center"/>
      </w:pPr>
      <w:r>
        <w:rPr>
          <w:b/>
          <w:color w:val="000000"/>
          <w:sz w:val="28"/>
        </w:rPr>
        <w:t xml:space="preserve">Джерела фінансування програми</w:t>
      </w:r>
      <w:r/>
    </w:p>
    <w:p>
      <w:pPr>
        <w:ind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Програма розвитку галузі культури реалізується в межах загального обсягу видатків, передбачених в місцевому бюджеті на відповідні роки, а також передбачає залученн</w:t>
      </w:r>
      <w:r>
        <w:rPr>
          <w:sz w:val="28"/>
        </w:rPr>
        <w:t xml:space="preserve">я позабюджетних коштів інвесторів, меценатів, громадських фондів, інших юридичних і фізичних осіб, що не суперечить чинному законодавству України.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В додатку 2 д</w:t>
      </w:r>
      <w:r>
        <w:rPr>
          <w:color w:val="000000"/>
          <w:sz w:val="28"/>
        </w:rPr>
        <w:t xml:space="preserve">о даного рішення наведено перелік основних заходів Програми та орієнтовний обсяг їх фінансування.</w:t>
      </w:r>
      <w:r/>
    </w:p>
    <w:p>
      <w:pPr>
        <w:jc w:val="center"/>
      </w:pPr>
      <w:r>
        <w:rPr>
          <w:b/>
          <w:color w:val="000000"/>
          <w:sz w:val="28"/>
        </w:rPr>
        <w:t xml:space="preserve">Контроль за виконанням Програми</w:t>
      </w:r>
      <w:r/>
    </w:p>
    <w:p>
      <w:pPr>
        <w:ind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Безпосередній контроль за ходом реалізації Програми, цільовим та </w:t>
      </w:r>
      <w:r>
        <w:rPr>
          <w:sz w:val="28"/>
        </w:rPr>
        <w:t xml:space="preserve">ефективним </w:t>
      </w:r>
      <w:r>
        <w:rPr>
          <w:color w:val="000000"/>
          <w:sz w:val="28"/>
        </w:rPr>
        <w:t xml:space="preserve">використанням коштів здійснює відділ культури Менської міської ради. Відповідальні виконавці Програми здійснюють обґрунтовану оцінку результатів її виконання та при потребі, розробляють пропозиції щодо доцільності продовження тих чи інших заходів, включення</w:t>
      </w:r>
      <w:r>
        <w:rPr>
          <w:color w:val="000000"/>
          <w:sz w:val="28"/>
        </w:rPr>
        <w:t xml:space="preserve"> додаткових заходів і завдань, уточнення показників обсягів і джерел фінансування, переліку виконавців, строків виконання Програми.</w:t>
      </w:r>
      <w:r/>
    </w:p>
    <w:p>
      <w:r>
        <w:br w:type="page"/>
      </w:r>
      <w:r/>
    </w:p>
    <w:p>
      <w:pPr>
        <w:ind w:left="5669"/>
        <w:jc w:val="both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  <w:b/>
          <w:color w:val="000000"/>
          <w:szCs w:val="20"/>
        </w:rPr>
      </w:pPr>
      <w:r>
        <w:rPr>
          <w:szCs w:val="20"/>
        </w:rPr>
        <w:t xml:space="preserve">Додаток </w:t>
      </w:r>
      <w:r>
        <w:rPr>
          <w:szCs w:val="20"/>
        </w:rPr>
        <w:t xml:space="preserve">2</w:t>
      </w:r>
      <w:bookmarkStart w:id="0" w:name="_GoBack"/>
      <w:r/>
      <w:bookmarkEnd w:id="0"/>
      <w:r>
        <w:rPr>
          <w:szCs w:val="20"/>
        </w:rPr>
        <w:t xml:space="preserve"> до рішення 36 сесії Менської міської ради 7 скликання </w:t>
      </w:r>
      <w:r>
        <w:rPr>
          <w:color w:val="000000"/>
          <w:szCs w:val="20"/>
        </w:rPr>
        <w:t xml:space="preserve">«Про затвердження програми розвитку культури Менської міської об'єднаної територіальної громади на 2020-2022 роки»</w:t>
      </w:r>
      <w:r>
        <w:rPr>
          <w:rFonts w:eastAsia="Batang"/>
          <w:color w:val="000000" w:themeColor="text1"/>
          <w:szCs w:val="20"/>
          <w:lang w:eastAsia="ru-RU"/>
        </w:rPr>
        <w:t xml:space="preserve"> </w:t>
      </w:r>
      <w:r>
        <w:rPr>
          <w:szCs w:val="20"/>
        </w:rPr>
        <w:t xml:space="preserve">від 26.12.2019</w:t>
      </w:r>
      <w:r>
        <w:rPr>
          <w:szCs w:val="20"/>
          <w:lang w:eastAsia="ru-RU"/>
        </w:rPr>
        <w:t xml:space="preserve"> №65</w:t>
      </w:r>
      <w:r>
        <w:rPr>
          <w:szCs w:val="20"/>
          <w:lang w:eastAsia="ru-RU"/>
        </w:rPr>
        <w:t xml:space="preserve">0</w:t>
      </w:r>
      <w:r/>
    </w:p>
    <w:p>
      <w:pPr>
        <w:ind w:left="5953"/>
        <w:jc w:val="both"/>
        <w:rPr>
          <w:sz w:val="22"/>
        </w:rPr>
      </w:pPr>
      <w:r>
        <w:rPr>
          <w:sz w:val="22"/>
        </w:rPr>
      </w:r>
      <w:r/>
    </w:p>
    <w:p>
      <w:pPr>
        <w:jc w:val="center"/>
        <w:rPr>
          <w:b/>
        </w:rPr>
      </w:pPr>
      <w:r>
        <w:rPr>
          <w:b/>
          <w:color w:val="000000"/>
          <w:sz w:val="28"/>
        </w:rPr>
        <w:t xml:space="preserve">Перелік заходів “Програми розвитку культури Менської міської об'єднаної територіальної громади на 2020 -2022 роки” та орієнтовний обсяг їх фінансування</w:t>
      </w:r>
      <w:r/>
    </w:p>
    <w:p>
      <w:r/>
      <w:r/>
    </w:p>
    <w:tbl>
      <w:tblPr>
        <w:tblStyle w:val="317"/>
        <w:tblW w:w="9859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871"/>
        <w:gridCol w:w="922"/>
        <w:gridCol w:w="1346"/>
        <w:gridCol w:w="1134"/>
        <w:gridCol w:w="1134"/>
        <w:gridCol w:w="992"/>
        <w:gridCol w:w="907"/>
        <w:gridCol w:w="57"/>
      </w:tblGrid>
      <w:tr>
        <w:trPr>
          <w:trHeight w:val="20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Назв заходу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Термін виконання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Виконавці</w:t>
            </w:r>
            <w:r/>
          </w:p>
        </w:tc>
        <w:tc>
          <w:tcPr>
            <w:gridSpan w:val="4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6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Орієнтовні обсяги фінансування, тис. грн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0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4"/>
            <w:tcW w:w="41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0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4"/>
            <w:tcW w:w="41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/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4"/>
            <w:tcW w:w="416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30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Всього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3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За роками виконання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2020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2021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2022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Облаштування громадського простору для жителів Менської громади шляхом проведення робіт з капітального ремонту КЗ «Менський будинок культури» по вул. Героїв АТО, 3 в м. </w:t>
            </w:r>
            <w:r>
              <w:rPr>
                <w:color w:val="000000"/>
                <w:sz w:val="28"/>
              </w:rPr>
              <w:t xml:space="preserve">Мена</w:t>
            </w:r>
            <w:r>
              <w:rPr>
                <w:color w:val="000000"/>
                <w:sz w:val="28"/>
              </w:rPr>
              <w:t xml:space="preserve"> Менського району Чернігівської обл.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20000.0</w:t>
            </w:r>
            <w:r/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Обладнання будівлі КЗ МБК системою сигналізації та системою оповіщення про пожежу та управління </w:t>
            </w:r>
            <w:r>
              <w:rPr>
                <w:color w:val="000000"/>
                <w:sz w:val="28"/>
                <w:lang w:val="uk-UA"/>
              </w:rPr>
              <w:t xml:space="preserve">евакуювання</w:t>
            </w:r>
            <w:r>
              <w:rPr>
                <w:color w:val="000000"/>
                <w:sz w:val="28"/>
                <w:lang w:val="uk-UA"/>
              </w:rPr>
              <w:t xml:space="preserve"> </w:t>
            </w:r>
            <w:r>
              <w:rPr>
                <w:color w:val="000000"/>
                <w:sz w:val="28"/>
              </w:rPr>
              <w:t xml:space="preserve">людей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Заміна дверей вхідної групи фойє будівлі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первинних засобів пожежогасіння (вогнегасник) для закладів культури </w:t>
            </w:r>
            <w:r>
              <w:rPr>
                <w:color w:val="000000"/>
                <w:sz w:val="28"/>
              </w:rPr>
              <w:t xml:space="preserve">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музичних інструментів та устаткування (баян, тощо) для закладів культури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2020 - 2022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прожекторів для заливки сцени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одягу для сцени (задник, куліси, </w:t>
            </w:r>
            <w:r>
              <w:rPr>
                <w:color w:val="000000"/>
                <w:sz w:val="28"/>
              </w:rPr>
              <w:t xml:space="preserve">падоги</w:t>
            </w:r>
            <w:r>
              <w:rPr>
                <w:color w:val="000000"/>
                <w:sz w:val="28"/>
              </w:rPr>
              <w:t xml:space="preserve">) КЗ МБК та сільських клубних закладів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кабельних ліній та систем керування постановочного освітлення сцени великої зали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звукопідсилювальної апаратури КЗ МБК. та клубних установ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Заміна глядацьких крісел у великому залі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кольорового принтеру А3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</w:t>
            </w:r>
            <w:r>
              <w:rPr>
                <w:color w:val="000000"/>
                <w:sz w:val="28"/>
              </w:rPr>
              <w:t xml:space="preserve">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сценічних костюмів для творчих колективів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легкового автомобілю відділу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Транспортне забезпечення участі у </w:t>
            </w:r>
            <w:r>
              <w:rPr>
                <w:color w:val="000000"/>
                <w:sz w:val="28"/>
              </w:rPr>
              <w:t xml:space="preserve">виїзних</w:t>
            </w:r>
            <w:r>
              <w:rPr>
                <w:color w:val="000000"/>
                <w:sz w:val="28"/>
              </w:rPr>
              <w:t xml:space="preserve"> заходах та конкурсах, придбання автобусу для комфортного та оперативного переміщення колективів та працівників культури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доступу до Інтернет мережі сільських філій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приміщень та будівлі </w:t>
            </w:r>
            <w:r>
              <w:rPr>
                <w:color w:val="000000"/>
                <w:sz w:val="28"/>
              </w:rPr>
              <w:t xml:space="preserve">Макошинської</w:t>
            </w:r>
            <w:r>
              <w:rPr>
                <w:color w:val="000000"/>
                <w:sz w:val="28"/>
              </w:rPr>
              <w:t xml:space="preserve"> філії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ганку </w:t>
            </w:r>
            <w:r>
              <w:rPr>
                <w:color w:val="000000"/>
                <w:sz w:val="28"/>
              </w:rPr>
              <w:t xml:space="preserve">Макошинської</w:t>
            </w:r>
            <w:r>
              <w:rPr>
                <w:color w:val="000000"/>
                <w:sz w:val="28"/>
              </w:rPr>
              <w:t xml:space="preserve"> філії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системи опалення, утеплення фасадів, заміна дверей, вікон спортивної зали </w:t>
            </w:r>
            <w:r>
              <w:rPr>
                <w:color w:val="000000"/>
                <w:sz w:val="28"/>
              </w:rPr>
              <w:t xml:space="preserve">Макошинської</w:t>
            </w:r>
            <w:r>
              <w:rPr>
                <w:color w:val="000000"/>
                <w:sz w:val="28"/>
              </w:rPr>
              <w:t xml:space="preserve"> філії </w:t>
            </w:r>
            <w:r>
              <w:rPr>
                <w:color w:val="000000"/>
                <w:sz w:val="28"/>
              </w:rPr>
              <w:t xml:space="preserve">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залу для глядачів (заміна підлоги) філія с. Садове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частини будівлі сільського клубу с. Осьмаки філія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Часткова реконструкція даху будинку культури с. </w:t>
            </w:r>
            <w:r>
              <w:rPr>
                <w:color w:val="000000"/>
                <w:sz w:val="28"/>
              </w:rPr>
              <w:t xml:space="preserve">Куковичі</w:t>
            </w:r>
            <w:r>
              <w:rPr>
                <w:color w:val="000000"/>
                <w:sz w:val="28"/>
              </w:rPr>
              <w:t xml:space="preserve"> філія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</w:t>
            </w:r>
            <w:r>
              <w:rPr>
                <w:color w:val="000000"/>
                <w:sz w:val="28"/>
              </w:rPr>
              <w:t xml:space="preserve">Блистівської</w:t>
            </w:r>
            <w:r>
              <w:rPr>
                <w:color w:val="000000"/>
                <w:sz w:val="28"/>
              </w:rPr>
              <w:t xml:space="preserve"> філії КЗ МБК із заміною вікон та дверних блоків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Ревіталізація</w:t>
            </w:r>
            <w:r>
              <w:rPr>
                <w:color w:val="000000"/>
                <w:sz w:val="28"/>
              </w:rPr>
              <w:t xml:space="preserve"> приміщень КЗ «Центру культури та дозвілля молоді» шляхом його реконструкції із застосуванням енергоефективних технологій будівлі по вул. Героїв АТО, 10 в м. </w:t>
            </w:r>
            <w:r>
              <w:rPr>
                <w:color w:val="000000"/>
                <w:sz w:val="28"/>
              </w:rPr>
              <w:t xml:space="preserve">Мена</w:t>
            </w:r>
            <w:r>
              <w:rPr>
                <w:color w:val="000000"/>
                <w:sz w:val="28"/>
              </w:rPr>
              <w:t xml:space="preserve"> Чернігівської області (реконструкція)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малого залу КЗ ЦКДМ під сучасний 3D кінотеатр.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мобільного кінотеатру для КЗ ЦКДМ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світлової апаратури для КЗ ЦКДМ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будівлі (заміна віконних та дверних блоків, ремонт даху, ганку) Комунального закладу «Менський краєзнавчий музей ім. В.Ф. Покотила» Менської міської ради, Менського району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830.4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830.4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Капітальний ремонт приміщення художньої галереї по вул. Героїв АТО, 3 в м. </w:t>
            </w:r>
            <w:r>
              <w:rPr>
                <w:color w:val="000000"/>
                <w:sz w:val="28"/>
              </w:rPr>
              <w:t xml:space="preserve">Мена</w:t>
            </w:r>
            <w:r>
              <w:rPr>
                <w:color w:val="000000"/>
                <w:sz w:val="28"/>
              </w:rPr>
              <w:t xml:space="preserve"> та створення </w:t>
            </w:r>
            <w:r/>
            <w:r>
              <w:rPr>
                <w:color w:val="000000"/>
                <w:sz w:val="28"/>
              </w:rPr>
              <w:t xml:space="preserve">Виставки </w:t>
            </w:r>
            <w:r>
              <w:rPr>
                <w:color w:val="000000"/>
                <w:sz w:val="28"/>
                <w:lang w:val="ru-RU"/>
              </w:rPr>
              <w:t xml:space="preserve">«С</w:t>
            </w:r>
            <w:r>
              <w:rPr>
                <w:color w:val="000000"/>
                <w:sz w:val="28"/>
                <w:lang w:val="en-US"/>
              </w:rPr>
              <w:t xml:space="preserve">eramic</w:t>
            </w:r>
            <w:r>
              <w:rPr>
                <w:color w:val="000000"/>
                <w:sz w:val="28"/>
              </w:rPr>
              <w:t xml:space="preserve">Аrt</w:t>
            </w:r>
            <w:r>
              <w:rPr>
                <w:color w:val="000000"/>
                <w:sz w:val="28"/>
                <w:lang w:val="en-US"/>
              </w:rPr>
              <w:t xml:space="preserve">Zoo</w:t>
            </w:r>
            <w:r>
              <w:rPr>
                <w:color w:val="000000"/>
                <w:sz w:val="28"/>
                <w:lang w:val="ru-RU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проектора і екрана для КЗ «Менський краєзнавчий музей ім. В.Ф. Покотила» Менської міської ради, Менського району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Створення тематичної інсталяції присвяченої військовій тематиці по вул. Шевченка (біля приміщення музею)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підвального приміщення КЗ «Менський краєзнавчий музей ім. В.Ф. Покотила» </w:t>
            </w:r>
            <w:r>
              <w:rPr>
                <w:color w:val="000000"/>
                <w:sz w:val="28"/>
              </w:rPr>
              <w:t xml:space="preserve">Менської міської ради, Менського району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Зелений туристичний маршрут на плотах по Десні з </w:t>
            </w:r>
            <w:r>
              <w:rPr>
                <w:color w:val="000000"/>
                <w:sz w:val="28"/>
              </w:rPr>
              <w:t xml:space="preserve">гастрозупинками</w:t>
            </w:r>
            <w:r>
              <w:rPr>
                <w:color w:val="000000"/>
                <w:sz w:val="28"/>
              </w:rPr>
              <w:t xml:space="preserve"> та культурно–мистецьким обслуговуванням туристів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Встановлення історико–інформаційних стендів на території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бібліотек кращими зразками вітчизняної та зарубіжної книжкової продукції.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2400.0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бібліотек періодичними друкованими виданнями.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Поповнення фондів бібліотек документами на електронних носіях інформації та з урахуванням інтересів осіб, які мають особливі потреби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бібліотек автоматизованими системами </w:t>
            </w:r>
            <w:r>
              <w:rPr>
                <w:color w:val="000000"/>
                <w:sz w:val="28"/>
              </w:rPr>
              <w:t xml:space="preserve">пожежно-охоронної</w:t>
            </w:r>
            <w:r>
              <w:rPr>
                <w:color w:val="000000"/>
                <w:sz w:val="28"/>
              </w:rPr>
              <w:t xml:space="preserve"> сигналізації та </w:t>
            </w:r>
            <w:r>
              <w:rPr>
                <w:color w:val="000000"/>
                <w:sz w:val="28"/>
              </w:rPr>
              <w:t xml:space="preserve">внутрішніми засобами пожежогасіння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129.0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умов зберігання бібліотечних фондів (темпера</w:t>
            </w:r>
            <w:r>
              <w:rPr>
                <w:color w:val="000000"/>
                <w:sz w:val="28"/>
              </w:rPr>
              <w:t xml:space="preserve">турно</w:t>
            </w:r>
            <w:r>
              <w:rPr>
                <w:color w:val="000000"/>
                <w:sz w:val="28"/>
              </w:rPr>
              <w:t xml:space="preserve">-</w:t>
            </w:r>
            <w:r>
              <w:rPr>
                <w:color w:val="000000"/>
                <w:sz w:val="28"/>
              </w:rPr>
              <w:t xml:space="preserve">вологісний</w:t>
            </w:r>
            <w:r>
              <w:rPr>
                <w:color w:val="000000"/>
                <w:sz w:val="28"/>
              </w:rPr>
              <w:t xml:space="preserve"> режим, відповідна площа розміщення, оснащення меблями, системами контролю мікроклімату, кондиціювання повітря), впровадження технології </w:t>
            </w:r>
            <w:r>
              <w:rPr>
                <w:color w:val="000000"/>
                <w:sz w:val="28"/>
              </w:rPr>
              <w:t xml:space="preserve">біозахисту</w:t>
            </w:r>
            <w:r>
              <w:rPr>
                <w:color w:val="000000"/>
                <w:sz w:val="28"/>
              </w:rPr>
              <w:t xml:space="preserve"> бібліотечних фондів.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36.0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технічного обслуговування комп’ютерної техніки та локальних мереж.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доступу до Інтернет мережі бібліотек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Впровадження сучасного програмного забезпечення відповідно до завдань удосконалення бібліотечної справи.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173.0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173.0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Навчання,підготовка</w:t>
            </w:r>
            <w:r>
              <w:rPr>
                <w:color w:val="000000"/>
                <w:sz w:val="28"/>
              </w:rPr>
              <w:t xml:space="preserve"> та перепідготовка працівників бібліотеки у відповідність з </w:t>
            </w:r>
            <w:r>
              <w:rPr>
                <w:color w:val="000000"/>
                <w:sz w:val="28"/>
              </w:rPr>
              <w:t xml:space="preserve">вимогами автоматизації та </w:t>
            </w:r>
            <w:r>
              <w:rPr>
                <w:color w:val="000000"/>
                <w:sz w:val="28"/>
              </w:rPr>
              <w:t xml:space="preserve">комп’ютизації</w:t>
            </w:r>
            <w:r>
              <w:rPr>
                <w:color w:val="000000"/>
                <w:sz w:val="28"/>
              </w:rPr>
              <w:t xml:space="preserve"> бібліотечних процесів та діяльності Інтернет-центрів.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3.5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3.5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сучасних бібліотечних меблів (мобільні столи, та розкладні стільці, пересувні стелажі для книг, документів на електронних носіях, полиці для книжок- модульні системи, м’які </w:t>
            </w:r>
            <w:r>
              <w:rPr>
                <w:color w:val="000000"/>
                <w:sz w:val="28"/>
              </w:rPr>
              <w:t xml:space="preserve">меблі:дивани</w:t>
            </w:r>
            <w:r>
              <w:rPr>
                <w:color w:val="000000"/>
                <w:sz w:val="28"/>
              </w:rPr>
              <w:t xml:space="preserve">, крісла-</w:t>
            </w:r>
            <w:r>
              <w:rPr>
                <w:color w:val="000000"/>
                <w:sz w:val="28"/>
              </w:rPr>
              <w:t xml:space="preserve">мішки,пуфи</w:t>
            </w:r>
            <w:r>
              <w:rPr>
                <w:color w:val="000000"/>
                <w:sz w:val="28"/>
              </w:rPr>
              <w:t xml:space="preserve">, каталожні ящики, тощо) створення куточку «</w:t>
            </w:r>
            <w:r>
              <w:rPr>
                <w:color w:val="000000"/>
                <w:sz w:val="28"/>
              </w:rPr>
              <w:t xml:space="preserve">Бібліоняня</w:t>
            </w:r>
            <w:r>
              <w:rPr>
                <w:color w:val="000000"/>
                <w:sz w:val="28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871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2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07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  <w:p>
            <w:pPr>
              <w:spacing w:lineRule="atLeast" w:line="240"/>
            </w:pPr>
            <w:r/>
            <w:r/>
          </w:p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Створення комунального закладу, яке буде займатися розвитком культури, тризму в сусідніх громадах на основі Закону України “Про співробітництво громад”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Менська міська рада та ради сусідніх громад 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67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 окремим рішенням сесій рад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Капітальний ремонт приміщення музею в </w:t>
            </w:r>
            <w:r>
              <w:rPr>
                <w:sz w:val="28"/>
              </w:rPr>
              <w:t xml:space="preserve">с.Стольне</w:t>
            </w:r>
            <w:r>
              <w:rPr>
                <w:sz w:val="28"/>
              </w:rPr>
              <w:t xml:space="preserve"> з </w:t>
            </w:r>
            <w:r>
              <w:rPr>
                <w:sz w:val="28"/>
              </w:rPr>
              <w:t xml:space="preserve">виготовенням</w:t>
            </w:r>
            <w:r>
              <w:rPr>
                <w:sz w:val="28"/>
              </w:rPr>
              <w:t xml:space="preserve"> ПКД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Створення в </w:t>
            </w:r>
            <w:r>
              <w:rPr>
                <w:sz w:val="28"/>
              </w:rPr>
              <w:t xml:space="preserve">с.Стольному</w:t>
            </w:r>
            <w:r>
              <w:rPr>
                <w:sz w:val="28"/>
              </w:rPr>
              <w:t xml:space="preserve"> “Музею гончарства”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Придбання автоматизовано</w:t>
            </w:r>
            <w:r>
              <w:rPr>
                <w:sz w:val="28"/>
                <w:szCs w:val="28"/>
              </w:rPr>
              <w:t xml:space="preserve">ї бібліотечної </w:t>
            </w:r>
            <w:r>
              <w:rPr>
                <w:sz w:val="28"/>
                <w:szCs w:val="28"/>
              </w:rPr>
              <w:t xml:space="preserve">інформаційної системи АБІС «УФД/Бібліотека»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культури </w:t>
            </w:r>
            <w:r>
              <w:rPr>
                <w:color w:val="000000"/>
                <w:sz w:val="28"/>
                <w:szCs w:val="28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173,0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173,0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Придбання бібліобусу</w:t>
            </w:r>
            <w:r>
              <w:rPr>
                <w:sz w:val="28"/>
                <w:szCs w:val="28"/>
                <w:lang w:val="ru-RU"/>
              </w:rPr>
              <w:t xml:space="preserve"> –транспортного </w:t>
            </w:r>
            <w:r>
              <w:rPr>
                <w:sz w:val="28"/>
                <w:szCs w:val="28"/>
                <w:lang w:val="ru-RU"/>
              </w:rPr>
              <w:t xml:space="preserve">засобу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  <w:lang w:val="ru-RU"/>
              </w:rPr>
              <w:t xml:space="preserve">обслуговування віддалених населених пунктів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Створення анти-кафе громадський</w:t>
            </w:r>
            <w:r>
              <w:rPr>
                <w:sz w:val="28"/>
                <w:szCs w:val="28"/>
                <w:lang w:val="ru-RU"/>
              </w:rPr>
              <w:t xml:space="preserve"> заклад </w:t>
            </w:r>
            <w:r>
              <w:rPr>
                <w:sz w:val="28"/>
                <w:szCs w:val="28"/>
                <w:lang w:val="ru-RU"/>
              </w:rPr>
              <w:t xml:space="preserve">соціального спрямування</w:t>
            </w:r>
            <w:r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 xml:space="preserve">базі</w:t>
            </w:r>
            <w:r>
              <w:rPr>
                <w:sz w:val="28"/>
                <w:szCs w:val="28"/>
                <w:lang w:val="ru-RU"/>
              </w:rPr>
              <w:t xml:space="preserve"> КЗ «</w:t>
            </w:r>
            <w:r>
              <w:rPr>
                <w:sz w:val="28"/>
                <w:szCs w:val="28"/>
                <w:lang w:val="ru-RU"/>
              </w:rPr>
              <w:t xml:space="preserve">Менська публічна бібліотека</w:t>
            </w:r>
            <w:r>
              <w:rPr>
                <w:sz w:val="28"/>
                <w:szCs w:val="28"/>
                <w:lang w:val="ru-RU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71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Всього 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2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6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71658.4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60087.9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7892.5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7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3678.0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</w:tbl>
    <w:p>
      <w:pPr>
        <w:jc w:val="center"/>
      </w:pPr>
      <w:r/>
      <w:r/>
    </w:p>
    <w:sectPr>
      <w:headerReference w:type="default" r:id="rId8"/>
      <w:footnotePr/>
      <w:type w:val="nextPage"/>
      <w:pgSz w:w="11906" w:h="16838"/>
      <w:pgMar w:top="1418" w:right="851" w:bottom="851" w:left="1418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2060803050605020204"/>
  </w:font>
  <w:font w:name="Batang">
    <w:panose1 w:val="02020603020101020101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72"/>
      <w:tabs>
        <w:tab w:val="clear" w:pos="7143" w:leader="none"/>
        <w:tab w:val="clear" w:pos="1428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313"/>
      <w:suff w:val="tab"/>
      <w:lvlText w:val="-"/>
      <w:lvlJc w:val="left"/>
      <w:pPr>
        <w:ind w:left="1287" w:hanging="350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007" w:hanging="35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5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5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5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5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5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5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5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0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50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020"/>
      <w:numFmt w:val="bullet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2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2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2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2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2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2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2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2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ind w:left="720" w:hanging="352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2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2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2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2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2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2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2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2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114" w:hanging="397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2"/>
      </w:pPr>
    </w:lvl>
    <w:lvl w:ilvl="2">
      <w:start w:val="1"/>
      <w:numFmt w:val="lowerRoman"/>
      <w:suff w:val="tab"/>
      <w:lvlText w:val="%3."/>
      <w:lvlJc w:val="right"/>
      <w:pPr>
        <w:ind w:left="2509" w:hanging="172"/>
      </w:pPr>
    </w:lvl>
    <w:lvl w:ilvl="3">
      <w:start w:val="1"/>
      <w:numFmt w:val="decimal"/>
      <w:suff w:val="tab"/>
      <w:lvlText w:val="%4."/>
      <w:lvlJc w:val="left"/>
      <w:pPr>
        <w:ind w:left="3229" w:hanging="352"/>
      </w:pPr>
    </w:lvl>
    <w:lvl w:ilvl="4">
      <w:start w:val="1"/>
      <w:numFmt w:val="lowerLetter"/>
      <w:suff w:val="tab"/>
      <w:lvlText w:val="%5."/>
      <w:lvlJc w:val="left"/>
      <w:pPr>
        <w:ind w:left="3949" w:hanging="352"/>
      </w:pPr>
    </w:lvl>
    <w:lvl w:ilvl="5">
      <w:start w:val="1"/>
      <w:numFmt w:val="lowerRoman"/>
      <w:suff w:val="tab"/>
      <w:lvlText w:val="%6."/>
      <w:lvlJc w:val="right"/>
      <w:pPr>
        <w:ind w:left="4669" w:hanging="172"/>
      </w:pPr>
    </w:lvl>
    <w:lvl w:ilvl="6">
      <w:start w:val="1"/>
      <w:numFmt w:val="decimal"/>
      <w:suff w:val="tab"/>
      <w:lvlText w:val="%7."/>
      <w:lvlJc w:val="left"/>
      <w:pPr>
        <w:ind w:left="5389" w:hanging="352"/>
      </w:pPr>
    </w:lvl>
    <w:lvl w:ilvl="7">
      <w:start w:val="1"/>
      <w:numFmt w:val="lowerLetter"/>
      <w:suff w:val="tab"/>
      <w:lvlText w:val="%8."/>
      <w:lvlJc w:val="left"/>
      <w:pPr>
        <w:ind w:left="6109" w:hanging="352"/>
      </w:pPr>
    </w:lvl>
    <w:lvl w:ilvl="8">
      <w:start w:val="1"/>
      <w:numFmt w:val="lowerRoman"/>
      <w:suff w:val="tab"/>
      <w:lvlText w:val="%9."/>
      <w:lvlJc w:val="right"/>
      <w:pPr>
        <w:ind w:left="6829" w:hanging="172"/>
      </w:p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ind w:left="1440" w:hanging="352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60" w:hanging="352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2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2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2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2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2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2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2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suff w:val="tab"/>
      <w:lvlText w:val="ü"/>
      <w:lvlJc w:val="left"/>
      <w:pPr>
        <w:ind w:left="720" w:hanging="354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</w:pPr>
    </w:lvl>
    <w:lvl w:ilvl="1">
      <w:start w:val="1"/>
      <w:numFmt w:val="lowerLetter"/>
      <w:suff w:val="tab"/>
      <w:lvlText w:val="%2."/>
      <w:lvlJc w:val="left"/>
      <w:pPr>
        <w:ind w:left="1440" w:hanging="353"/>
      </w:pPr>
    </w:lvl>
    <w:lvl w:ilvl="2">
      <w:start w:val="1"/>
      <w:numFmt w:val="lowerRoman"/>
      <w:suff w:val="tab"/>
      <w:lvlText w:val="%3."/>
      <w:lvlJc w:val="right"/>
      <w:pPr>
        <w:ind w:left="2160" w:hanging="173"/>
      </w:pPr>
    </w:lvl>
    <w:lvl w:ilvl="3">
      <w:start w:val="1"/>
      <w:numFmt w:val="decimal"/>
      <w:suff w:val="tab"/>
      <w:lvlText w:val="%4."/>
      <w:lvlJc w:val="left"/>
      <w:pPr>
        <w:ind w:left="2880" w:hanging="353"/>
      </w:pPr>
    </w:lvl>
    <w:lvl w:ilvl="4">
      <w:start w:val="1"/>
      <w:numFmt w:val="lowerLetter"/>
      <w:suff w:val="tab"/>
      <w:lvlText w:val="%5."/>
      <w:lvlJc w:val="left"/>
      <w:pPr>
        <w:ind w:left="3600" w:hanging="353"/>
      </w:pPr>
    </w:lvl>
    <w:lvl w:ilvl="5">
      <w:start w:val="1"/>
      <w:numFmt w:val="lowerRoman"/>
      <w:suff w:val="tab"/>
      <w:lvlText w:val="%6."/>
      <w:lvlJc w:val="right"/>
      <w:pPr>
        <w:ind w:left="4320" w:hanging="173"/>
      </w:pPr>
    </w:lvl>
    <w:lvl w:ilvl="6">
      <w:start w:val="1"/>
      <w:numFmt w:val="decimal"/>
      <w:suff w:val="tab"/>
      <w:lvlText w:val="%7."/>
      <w:lvlJc w:val="left"/>
      <w:pPr>
        <w:ind w:left="5040" w:hanging="353"/>
      </w:pPr>
    </w:lvl>
    <w:lvl w:ilvl="7">
      <w:start w:val="1"/>
      <w:numFmt w:val="lowerLetter"/>
      <w:suff w:val="tab"/>
      <w:lvlText w:val="%8."/>
      <w:lvlJc w:val="left"/>
      <w:pPr>
        <w:ind w:left="5760" w:hanging="353"/>
      </w:pPr>
    </w:lvl>
    <w:lvl w:ilvl="8">
      <w:start w:val="1"/>
      <w:numFmt w:val="lowerRoman"/>
      <w:suff w:val="tab"/>
      <w:lvlText w:val="%9."/>
      <w:lvlJc w:val="right"/>
      <w:pPr>
        <w:ind w:left="6480" w:hanging="173"/>
      </w:pPr>
    </w:lvl>
  </w:abstractNum>
  <w:abstractNum w:abstractNumId="12">
    <w:multiLevelType w:val="hybridMultilevel"/>
    <w:lvl w:ilvl="0">
      <w:start w:val="1"/>
      <w:numFmt w:val="bullet"/>
      <w:pStyle w:val="314"/>
      <w:suff w:val="tab"/>
      <w:lvlText w:val="-"/>
      <w:lvlJc w:val="left"/>
      <w:pPr>
        <w:ind w:left="1287" w:hanging="352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007" w:hanging="352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52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52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52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52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52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52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52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4">
    <w:name w:val="Heading 1 Char"/>
    <w:basedOn w:val="225"/>
    <w:link w:val="216"/>
    <w:uiPriority w:val="9"/>
    <w:rPr>
      <w:rFonts w:ascii="Arial" w:hAnsi="Arial" w:cs="Arial" w:eastAsia="Arial"/>
      <w:sz w:val="40"/>
      <w:szCs w:val="40"/>
    </w:rPr>
  </w:style>
  <w:style w:type="character" w:styleId="205">
    <w:name w:val="Heading 2 Char"/>
    <w:basedOn w:val="225"/>
    <w:link w:val="217"/>
    <w:uiPriority w:val="9"/>
    <w:rPr>
      <w:rFonts w:ascii="Arial" w:hAnsi="Arial" w:cs="Arial" w:eastAsia="Arial"/>
      <w:sz w:val="34"/>
    </w:rPr>
  </w:style>
  <w:style w:type="character" w:styleId="206">
    <w:name w:val="Heading 3 Char"/>
    <w:basedOn w:val="225"/>
    <w:link w:val="218"/>
    <w:uiPriority w:val="9"/>
    <w:rPr>
      <w:rFonts w:ascii="Arial" w:hAnsi="Arial" w:cs="Arial" w:eastAsia="Arial"/>
      <w:sz w:val="30"/>
      <w:szCs w:val="30"/>
    </w:rPr>
  </w:style>
  <w:style w:type="character" w:styleId="207">
    <w:name w:val="Heading 4 Char"/>
    <w:basedOn w:val="225"/>
    <w:link w:val="219"/>
    <w:uiPriority w:val="9"/>
    <w:rPr>
      <w:rFonts w:ascii="Arial" w:hAnsi="Arial" w:cs="Arial" w:eastAsia="Arial"/>
      <w:b/>
      <w:bCs/>
      <w:sz w:val="26"/>
      <w:szCs w:val="26"/>
    </w:rPr>
  </w:style>
  <w:style w:type="character" w:styleId="208">
    <w:name w:val="Heading 5 Char"/>
    <w:basedOn w:val="225"/>
    <w:link w:val="220"/>
    <w:uiPriority w:val="9"/>
    <w:rPr>
      <w:rFonts w:ascii="Arial" w:hAnsi="Arial" w:cs="Arial" w:eastAsia="Arial"/>
      <w:b/>
      <w:bCs/>
      <w:sz w:val="24"/>
      <w:szCs w:val="24"/>
    </w:rPr>
  </w:style>
  <w:style w:type="character" w:styleId="209">
    <w:name w:val="Heading 6 Char"/>
    <w:basedOn w:val="225"/>
    <w:link w:val="221"/>
    <w:uiPriority w:val="9"/>
    <w:rPr>
      <w:rFonts w:ascii="Arial" w:hAnsi="Arial" w:cs="Arial" w:eastAsia="Arial"/>
      <w:b/>
      <w:bCs/>
      <w:sz w:val="22"/>
      <w:szCs w:val="22"/>
    </w:rPr>
  </w:style>
  <w:style w:type="character" w:styleId="210">
    <w:name w:val="Heading 7 Char"/>
    <w:basedOn w:val="225"/>
    <w:link w:val="2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1">
    <w:name w:val="Heading 8 Char"/>
    <w:basedOn w:val="225"/>
    <w:link w:val="223"/>
    <w:uiPriority w:val="9"/>
    <w:rPr>
      <w:rFonts w:ascii="Arial" w:hAnsi="Arial" w:cs="Arial" w:eastAsia="Arial"/>
      <w:i/>
      <w:iCs/>
      <w:sz w:val="22"/>
      <w:szCs w:val="22"/>
    </w:rPr>
  </w:style>
  <w:style w:type="character" w:styleId="212">
    <w:name w:val="Heading 9 Char"/>
    <w:basedOn w:val="225"/>
    <w:link w:val="224"/>
    <w:uiPriority w:val="9"/>
    <w:rPr>
      <w:rFonts w:ascii="Arial" w:hAnsi="Arial" w:cs="Arial" w:eastAsia="Arial"/>
      <w:i/>
      <w:iCs/>
      <w:sz w:val="21"/>
      <w:szCs w:val="21"/>
    </w:rPr>
  </w:style>
  <w:style w:type="character" w:styleId="213">
    <w:name w:val="Header Char"/>
    <w:basedOn w:val="225"/>
    <w:link w:val="228"/>
    <w:uiPriority w:val="99"/>
  </w:style>
  <w:style w:type="character" w:styleId="214">
    <w:name w:val="Footer Char"/>
    <w:basedOn w:val="225"/>
    <w:link w:val="229"/>
    <w:uiPriority w:val="99"/>
  </w:style>
  <w:style w:type="paragraph" w:styleId="215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paragraph" w:styleId="216">
    <w:name w:val="Heading 1"/>
    <w:basedOn w:val="215"/>
    <w:next w:val="215"/>
    <w:link w:val="2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17">
    <w:name w:val="Heading 2"/>
    <w:basedOn w:val="215"/>
    <w:next w:val="215"/>
    <w:link w:val="2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18">
    <w:name w:val="Heading 3"/>
    <w:basedOn w:val="215"/>
    <w:next w:val="215"/>
    <w:link w:val="2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19">
    <w:name w:val="Heading 4"/>
    <w:basedOn w:val="215"/>
    <w:next w:val="215"/>
    <w:link w:val="2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20">
    <w:name w:val="Heading 5"/>
    <w:basedOn w:val="215"/>
    <w:next w:val="215"/>
    <w:link w:val="2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21">
    <w:name w:val="Heading 6"/>
    <w:basedOn w:val="215"/>
    <w:next w:val="215"/>
    <w:link w:val="23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22">
    <w:name w:val="Heading 7"/>
    <w:basedOn w:val="215"/>
    <w:next w:val="215"/>
    <w:link w:val="23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23">
    <w:name w:val="Heading 8"/>
    <w:basedOn w:val="215"/>
    <w:next w:val="215"/>
    <w:link w:val="2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24">
    <w:name w:val="Heading 9"/>
    <w:basedOn w:val="215"/>
    <w:next w:val="215"/>
    <w:link w:val="2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25" w:default="1">
    <w:name w:val="Default Paragraph Font"/>
    <w:uiPriority w:val="1"/>
    <w:semiHidden/>
    <w:unhideWhenUsed/>
  </w:style>
  <w:style w:type="table" w:styleId="2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7" w:default="1">
    <w:name w:val="No List"/>
    <w:uiPriority w:val="99"/>
    <w:semiHidden/>
    <w:unhideWhenUsed/>
  </w:style>
  <w:style w:type="paragraph" w:styleId="228">
    <w:name w:val="Header"/>
    <w:basedOn w:val="215"/>
    <w:link w:val="24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229">
    <w:name w:val="Footer"/>
    <w:basedOn w:val="215"/>
    <w:link w:val="2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30" w:customStyle="1">
    <w:name w:val="Заголовок 1 Знак1"/>
    <w:basedOn w:val="225"/>
    <w:link w:val="216"/>
    <w:uiPriority w:val="9"/>
    <w:rPr>
      <w:rFonts w:ascii="Arial" w:hAnsi="Arial" w:cs="Arial" w:eastAsia="Arial"/>
      <w:sz w:val="40"/>
      <w:szCs w:val="40"/>
    </w:rPr>
  </w:style>
  <w:style w:type="character" w:styleId="231" w:customStyle="1">
    <w:name w:val="Заголовок 2 Знак1"/>
    <w:basedOn w:val="225"/>
    <w:link w:val="217"/>
    <w:uiPriority w:val="9"/>
    <w:rPr>
      <w:rFonts w:ascii="Arial" w:hAnsi="Arial" w:cs="Arial" w:eastAsia="Arial"/>
      <w:sz w:val="34"/>
    </w:rPr>
  </w:style>
  <w:style w:type="character" w:styleId="232" w:customStyle="1">
    <w:name w:val="Заголовок 3 Знак1"/>
    <w:basedOn w:val="225"/>
    <w:link w:val="218"/>
    <w:uiPriority w:val="9"/>
    <w:rPr>
      <w:rFonts w:ascii="Arial" w:hAnsi="Arial" w:cs="Arial" w:eastAsia="Arial"/>
      <w:sz w:val="30"/>
      <w:szCs w:val="30"/>
    </w:rPr>
  </w:style>
  <w:style w:type="character" w:styleId="233" w:customStyle="1">
    <w:name w:val="Заголовок 4 Знак1"/>
    <w:basedOn w:val="225"/>
    <w:link w:val="219"/>
    <w:uiPriority w:val="9"/>
    <w:rPr>
      <w:rFonts w:ascii="Arial" w:hAnsi="Arial" w:cs="Arial" w:eastAsia="Arial"/>
      <w:b/>
      <w:bCs/>
      <w:sz w:val="26"/>
      <w:szCs w:val="26"/>
    </w:rPr>
  </w:style>
  <w:style w:type="character" w:styleId="234" w:customStyle="1">
    <w:name w:val="Заголовок 5 Знак1"/>
    <w:basedOn w:val="225"/>
    <w:link w:val="220"/>
    <w:uiPriority w:val="9"/>
    <w:rPr>
      <w:rFonts w:ascii="Arial" w:hAnsi="Arial" w:cs="Arial" w:eastAsia="Arial"/>
      <w:b/>
      <w:bCs/>
      <w:sz w:val="24"/>
      <w:szCs w:val="24"/>
    </w:rPr>
  </w:style>
  <w:style w:type="character" w:styleId="235" w:customStyle="1">
    <w:name w:val="Заголовок 6 Знак1"/>
    <w:basedOn w:val="225"/>
    <w:link w:val="221"/>
    <w:uiPriority w:val="9"/>
    <w:rPr>
      <w:rFonts w:ascii="Arial" w:hAnsi="Arial" w:cs="Arial" w:eastAsia="Arial"/>
      <w:b/>
      <w:bCs/>
      <w:sz w:val="22"/>
      <w:szCs w:val="22"/>
    </w:rPr>
  </w:style>
  <w:style w:type="character" w:styleId="236" w:customStyle="1">
    <w:name w:val="Заголовок 7 Знак1"/>
    <w:basedOn w:val="225"/>
    <w:link w:val="2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7" w:customStyle="1">
    <w:name w:val="Заголовок 8 Знак1"/>
    <w:basedOn w:val="225"/>
    <w:link w:val="223"/>
    <w:uiPriority w:val="9"/>
    <w:rPr>
      <w:rFonts w:ascii="Arial" w:hAnsi="Arial" w:cs="Arial" w:eastAsia="Arial"/>
      <w:i/>
      <w:iCs/>
      <w:sz w:val="22"/>
      <w:szCs w:val="22"/>
    </w:rPr>
  </w:style>
  <w:style w:type="character" w:styleId="238" w:customStyle="1">
    <w:name w:val="Заголовок 9 Знак1"/>
    <w:basedOn w:val="225"/>
    <w:link w:val="224"/>
    <w:uiPriority w:val="9"/>
    <w:rPr>
      <w:rFonts w:ascii="Arial" w:hAnsi="Arial" w:cs="Arial" w:eastAsia="Arial"/>
      <w:i/>
      <w:iCs/>
      <w:sz w:val="21"/>
      <w:szCs w:val="21"/>
    </w:rPr>
  </w:style>
  <w:style w:type="character" w:styleId="239" w:customStyle="1">
    <w:name w:val="Title Char"/>
    <w:basedOn w:val="225"/>
    <w:uiPriority w:val="10"/>
    <w:rPr>
      <w:sz w:val="48"/>
      <w:szCs w:val="48"/>
    </w:rPr>
  </w:style>
  <w:style w:type="character" w:styleId="240" w:customStyle="1">
    <w:name w:val="Subtitle Char"/>
    <w:basedOn w:val="225"/>
    <w:uiPriority w:val="11"/>
    <w:rPr>
      <w:sz w:val="24"/>
      <w:szCs w:val="24"/>
    </w:rPr>
  </w:style>
  <w:style w:type="character" w:styleId="241" w:customStyle="1">
    <w:name w:val="Quote Char"/>
    <w:uiPriority w:val="29"/>
    <w:rPr>
      <w:i/>
    </w:rPr>
  </w:style>
  <w:style w:type="character" w:styleId="242" w:customStyle="1">
    <w:name w:val="Intense Quote Char"/>
    <w:uiPriority w:val="30"/>
    <w:rPr>
      <w:i/>
    </w:rPr>
  </w:style>
  <w:style w:type="character" w:styleId="243" w:customStyle="1">
    <w:name w:val="Верхний колонтитул Знак1"/>
    <w:basedOn w:val="225"/>
    <w:link w:val="228"/>
    <w:uiPriority w:val="99"/>
  </w:style>
  <w:style w:type="character" w:styleId="244" w:customStyle="1">
    <w:name w:val="Нижний колонтитул Знак1"/>
    <w:basedOn w:val="225"/>
    <w:link w:val="229"/>
    <w:uiPriority w:val="99"/>
  </w:style>
  <w:style w:type="character" w:styleId="245" w:customStyle="1">
    <w:name w:val="Footnote Text Char"/>
    <w:uiPriority w:val="99"/>
    <w:rPr>
      <w:sz w:val="18"/>
    </w:rPr>
  </w:style>
  <w:style w:type="paragraph" w:styleId="246" w:customStyle="1">
    <w:name w:val="Заголовок 11"/>
    <w:basedOn w:val="215"/>
    <w:next w:val="215"/>
    <w:link w:val="2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47" w:customStyle="1">
    <w:name w:val="Заголовок 21"/>
    <w:basedOn w:val="215"/>
    <w:next w:val="215"/>
    <w:link w:val="2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48" w:customStyle="1">
    <w:name w:val="Заголовок 31"/>
    <w:basedOn w:val="215"/>
    <w:next w:val="215"/>
    <w:link w:val="2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49" w:customStyle="1">
    <w:name w:val="Заголовок 41"/>
    <w:basedOn w:val="215"/>
    <w:next w:val="215"/>
    <w:link w:val="2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50" w:customStyle="1">
    <w:name w:val="Заголовок 51"/>
    <w:basedOn w:val="215"/>
    <w:next w:val="215"/>
    <w:link w:val="2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51" w:customStyle="1">
    <w:name w:val="Заголовок 61"/>
    <w:basedOn w:val="215"/>
    <w:next w:val="215"/>
    <w:link w:val="26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52" w:customStyle="1">
    <w:name w:val="Заголовок 71"/>
    <w:basedOn w:val="215"/>
    <w:next w:val="215"/>
    <w:link w:val="26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53" w:customStyle="1">
    <w:name w:val="Заголовок 81"/>
    <w:basedOn w:val="215"/>
    <w:next w:val="215"/>
    <w:link w:val="2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54" w:customStyle="1">
    <w:name w:val="Заголовок 91"/>
    <w:basedOn w:val="215"/>
    <w:next w:val="215"/>
    <w:link w:val="2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55" w:customStyle="1">
    <w:name w:val="Заголовок 1 Знак"/>
    <w:basedOn w:val="225"/>
    <w:link w:val="246"/>
    <w:uiPriority w:val="9"/>
    <w:rPr>
      <w:rFonts w:ascii="Arial" w:hAnsi="Arial" w:cs="Arial" w:eastAsia="Arial"/>
      <w:sz w:val="40"/>
      <w:szCs w:val="40"/>
    </w:rPr>
  </w:style>
  <w:style w:type="character" w:styleId="256" w:customStyle="1">
    <w:name w:val="Заголовок 2 Знак"/>
    <w:basedOn w:val="225"/>
    <w:link w:val="247"/>
    <w:uiPriority w:val="9"/>
    <w:rPr>
      <w:rFonts w:ascii="Arial" w:hAnsi="Arial" w:cs="Arial" w:eastAsia="Arial"/>
      <w:sz w:val="34"/>
    </w:rPr>
  </w:style>
  <w:style w:type="character" w:styleId="257" w:customStyle="1">
    <w:name w:val="Заголовок 3 Знак"/>
    <w:basedOn w:val="225"/>
    <w:link w:val="248"/>
    <w:uiPriority w:val="9"/>
    <w:rPr>
      <w:rFonts w:ascii="Arial" w:hAnsi="Arial" w:cs="Arial" w:eastAsia="Arial"/>
      <w:sz w:val="30"/>
      <w:szCs w:val="30"/>
    </w:rPr>
  </w:style>
  <w:style w:type="character" w:styleId="258" w:customStyle="1">
    <w:name w:val="Заголовок 4 Знак"/>
    <w:basedOn w:val="225"/>
    <w:link w:val="249"/>
    <w:uiPriority w:val="9"/>
    <w:rPr>
      <w:rFonts w:ascii="Arial" w:hAnsi="Arial" w:cs="Arial" w:eastAsia="Arial"/>
      <w:b/>
      <w:bCs/>
      <w:sz w:val="26"/>
      <w:szCs w:val="26"/>
    </w:rPr>
  </w:style>
  <w:style w:type="character" w:styleId="259" w:customStyle="1">
    <w:name w:val="Заголовок 5 Знак"/>
    <w:basedOn w:val="225"/>
    <w:link w:val="250"/>
    <w:uiPriority w:val="9"/>
    <w:rPr>
      <w:rFonts w:ascii="Arial" w:hAnsi="Arial" w:cs="Arial" w:eastAsia="Arial"/>
      <w:b/>
      <w:bCs/>
      <w:sz w:val="24"/>
      <w:szCs w:val="24"/>
    </w:rPr>
  </w:style>
  <w:style w:type="character" w:styleId="260" w:customStyle="1">
    <w:name w:val="Заголовок 6 Знак"/>
    <w:basedOn w:val="225"/>
    <w:link w:val="251"/>
    <w:uiPriority w:val="9"/>
    <w:rPr>
      <w:rFonts w:ascii="Arial" w:hAnsi="Arial" w:cs="Arial" w:eastAsia="Arial"/>
      <w:b/>
      <w:bCs/>
      <w:sz w:val="22"/>
      <w:szCs w:val="22"/>
    </w:rPr>
  </w:style>
  <w:style w:type="character" w:styleId="261" w:customStyle="1">
    <w:name w:val="Заголовок 7 Знак"/>
    <w:basedOn w:val="225"/>
    <w:link w:val="2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2" w:customStyle="1">
    <w:name w:val="Заголовок 8 Знак"/>
    <w:basedOn w:val="225"/>
    <w:link w:val="253"/>
    <w:uiPriority w:val="9"/>
    <w:rPr>
      <w:rFonts w:ascii="Arial" w:hAnsi="Arial" w:cs="Arial" w:eastAsia="Arial"/>
      <w:i/>
      <w:iCs/>
      <w:sz w:val="22"/>
      <w:szCs w:val="22"/>
    </w:rPr>
  </w:style>
  <w:style w:type="character" w:styleId="263" w:customStyle="1">
    <w:name w:val="Заголовок 9 Знак"/>
    <w:basedOn w:val="225"/>
    <w:link w:val="254"/>
    <w:uiPriority w:val="9"/>
    <w:rPr>
      <w:rFonts w:ascii="Arial" w:hAnsi="Arial" w:cs="Arial" w:eastAsia="Arial"/>
      <w:i/>
      <w:iCs/>
      <w:sz w:val="21"/>
      <w:szCs w:val="21"/>
    </w:rPr>
  </w:style>
  <w:style w:type="paragraph" w:styleId="264">
    <w:name w:val="Title"/>
    <w:basedOn w:val="215"/>
    <w:next w:val="215"/>
    <w:link w:val="2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65" w:customStyle="1">
    <w:name w:val="Заголовок Знак"/>
    <w:basedOn w:val="225"/>
    <w:link w:val="264"/>
    <w:uiPriority w:val="10"/>
    <w:rPr>
      <w:sz w:val="48"/>
      <w:szCs w:val="48"/>
    </w:rPr>
  </w:style>
  <w:style w:type="paragraph" w:styleId="266">
    <w:name w:val="Subtitle"/>
    <w:basedOn w:val="215"/>
    <w:next w:val="215"/>
    <w:link w:val="267"/>
    <w:qFormat/>
    <w:uiPriority w:val="11"/>
    <w:rPr>
      <w:sz w:val="24"/>
      <w:szCs w:val="24"/>
    </w:rPr>
    <w:pPr>
      <w:spacing w:after="200" w:before="200"/>
    </w:pPr>
  </w:style>
  <w:style w:type="character" w:styleId="267" w:customStyle="1">
    <w:name w:val="Подзаголовок Знак"/>
    <w:basedOn w:val="225"/>
    <w:link w:val="266"/>
    <w:uiPriority w:val="11"/>
    <w:rPr>
      <w:sz w:val="24"/>
      <w:szCs w:val="24"/>
    </w:rPr>
  </w:style>
  <w:style w:type="paragraph" w:styleId="268">
    <w:name w:val="Quote"/>
    <w:basedOn w:val="215"/>
    <w:next w:val="215"/>
    <w:link w:val="269"/>
    <w:qFormat/>
    <w:uiPriority w:val="29"/>
    <w:rPr>
      <w:i/>
    </w:rPr>
    <w:pPr>
      <w:ind w:left="720" w:right="720"/>
    </w:pPr>
  </w:style>
  <w:style w:type="character" w:styleId="269" w:customStyle="1">
    <w:name w:val="Цитата 2 Знак"/>
    <w:link w:val="268"/>
    <w:uiPriority w:val="29"/>
    <w:rPr>
      <w:i/>
    </w:rPr>
  </w:style>
  <w:style w:type="paragraph" w:styleId="270">
    <w:name w:val="Intense Quote"/>
    <w:basedOn w:val="215"/>
    <w:next w:val="215"/>
    <w:link w:val="27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71" w:customStyle="1">
    <w:name w:val="Выделенная цитата Знак"/>
    <w:link w:val="270"/>
    <w:uiPriority w:val="30"/>
    <w:rPr>
      <w:i/>
    </w:rPr>
  </w:style>
  <w:style w:type="paragraph" w:styleId="272" w:customStyle="1">
    <w:name w:val="Верхний колонтитул1"/>
    <w:basedOn w:val="215"/>
    <w:link w:val="2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73" w:customStyle="1">
    <w:name w:val="Верхний колонтитул Знак"/>
    <w:basedOn w:val="225"/>
    <w:link w:val="272"/>
    <w:uiPriority w:val="99"/>
  </w:style>
  <w:style w:type="paragraph" w:styleId="274" w:customStyle="1">
    <w:name w:val="Нижний колонтитул1"/>
    <w:basedOn w:val="215"/>
    <w:link w:val="2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75" w:customStyle="1">
    <w:name w:val="Нижний колонтитул Знак"/>
    <w:basedOn w:val="225"/>
    <w:link w:val="274"/>
    <w:uiPriority w:val="99"/>
  </w:style>
  <w:style w:type="table" w:styleId="276" w:customStyle="1">
    <w:name w:val="Lined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77" w:customStyle="1">
    <w:name w:val="Lined - Accent 1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78" w:customStyle="1">
    <w:name w:val="Lined - Accent 2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79" w:customStyle="1">
    <w:name w:val="Lined - Accent 3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80" w:customStyle="1">
    <w:name w:val="Lined - Accent 4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81" w:customStyle="1">
    <w:name w:val="Lined - Accent 5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82" w:customStyle="1">
    <w:name w:val="Lined - Accent 6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83" w:customStyle="1">
    <w:name w:val="Bordered"/>
    <w:basedOn w:val="2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84" w:customStyle="1">
    <w:name w:val="Bordered - Accent 1"/>
    <w:basedOn w:val="2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85" w:customStyle="1">
    <w:name w:val="Bordered - Accent 2"/>
    <w:basedOn w:val="2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86" w:customStyle="1">
    <w:name w:val="Bordered - Accent 3"/>
    <w:basedOn w:val="2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87" w:customStyle="1">
    <w:name w:val="Bordered - Accent 4"/>
    <w:basedOn w:val="2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88" w:customStyle="1">
    <w:name w:val="Bordered - Accent 5"/>
    <w:basedOn w:val="2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89" w:customStyle="1">
    <w:name w:val="Bordered - Accent 6"/>
    <w:basedOn w:val="2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90" w:customStyle="1">
    <w:name w:val="Bordered &amp; Lined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91" w:customStyle="1">
    <w:name w:val="Bordered &amp; Lined - Accent 1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92" w:customStyle="1">
    <w:name w:val="Bordered &amp; Lined - Accent 2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93" w:customStyle="1">
    <w:name w:val="Bordered &amp; Lined - Accent 3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94" w:customStyle="1">
    <w:name w:val="Bordered &amp; Lined - Accent 4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95" w:customStyle="1">
    <w:name w:val="Bordered &amp; Lined - Accent 5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96" w:customStyle="1">
    <w:name w:val="Bordered &amp; Lined - Accent 6"/>
    <w:basedOn w:val="2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97">
    <w:name w:val="Hyperlink"/>
    <w:uiPriority w:val="99"/>
    <w:unhideWhenUsed/>
    <w:rPr>
      <w:color w:val="0563C1" w:themeColor="hyperlink"/>
      <w:u w:val="single"/>
    </w:rPr>
  </w:style>
  <w:style w:type="paragraph" w:styleId="298">
    <w:name w:val="footnote text"/>
    <w:basedOn w:val="215"/>
    <w:link w:val="299"/>
    <w:uiPriority w:val="99"/>
    <w:semiHidden/>
    <w:unhideWhenUsed/>
    <w:rPr>
      <w:sz w:val="18"/>
    </w:rPr>
    <w:pPr>
      <w:spacing w:after="40"/>
    </w:pPr>
  </w:style>
  <w:style w:type="character" w:styleId="299" w:customStyle="1">
    <w:name w:val="Текст сноски Знак"/>
    <w:link w:val="298"/>
    <w:uiPriority w:val="99"/>
    <w:rPr>
      <w:sz w:val="18"/>
    </w:rPr>
  </w:style>
  <w:style w:type="character" w:styleId="300">
    <w:name w:val="footnote reference"/>
    <w:basedOn w:val="225"/>
    <w:uiPriority w:val="99"/>
    <w:unhideWhenUsed/>
    <w:rPr>
      <w:vertAlign w:val="superscript"/>
    </w:rPr>
  </w:style>
  <w:style w:type="paragraph" w:styleId="301">
    <w:name w:val="toc 1"/>
    <w:basedOn w:val="215"/>
    <w:next w:val="215"/>
    <w:uiPriority w:val="39"/>
    <w:unhideWhenUsed/>
    <w:pPr>
      <w:spacing w:after="57"/>
    </w:pPr>
  </w:style>
  <w:style w:type="paragraph" w:styleId="302">
    <w:name w:val="toc 2"/>
    <w:basedOn w:val="215"/>
    <w:next w:val="215"/>
    <w:uiPriority w:val="39"/>
    <w:unhideWhenUsed/>
    <w:pPr>
      <w:ind w:left="283"/>
      <w:spacing w:after="57"/>
    </w:pPr>
  </w:style>
  <w:style w:type="paragraph" w:styleId="303">
    <w:name w:val="toc 3"/>
    <w:basedOn w:val="215"/>
    <w:next w:val="215"/>
    <w:uiPriority w:val="39"/>
    <w:unhideWhenUsed/>
    <w:pPr>
      <w:ind w:left="567"/>
      <w:spacing w:after="57"/>
    </w:pPr>
  </w:style>
  <w:style w:type="paragraph" w:styleId="304">
    <w:name w:val="toc 4"/>
    <w:basedOn w:val="215"/>
    <w:next w:val="215"/>
    <w:uiPriority w:val="39"/>
    <w:unhideWhenUsed/>
    <w:pPr>
      <w:ind w:left="850"/>
      <w:spacing w:after="57"/>
    </w:pPr>
  </w:style>
  <w:style w:type="paragraph" w:styleId="305">
    <w:name w:val="toc 5"/>
    <w:basedOn w:val="215"/>
    <w:next w:val="215"/>
    <w:uiPriority w:val="39"/>
    <w:unhideWhenUsed/>
    <w:pPr>
      <w:ind w:left="1134"/>
      <w:spacing w:after="57"/>
    </w:pPr>
  </w:style>
  <w:style w:type="paragraph" w:styleId="306">
    <w:name w:val="toc 6"/>
    <w:basedOn w:val="215"/>
    <w:next w:val="215"/>
    <w:uiPriority w:val="39"/>
    <w:unhideWhenUsed/>
    <w:pPr>
      <w:ind w:left="1417"/>
      <w:spacing w:after="57"/>
    </w:pPr>
  </w:style>
  <w:style w:type="paragraph" w:styleId="307">
    <w:name w:val="toc 7"/>
    <w:basedOn w:val="215"/>
    <w:next w:val="215"/>
    <w:uiPriority w:val="39"/>
    <w:unhideWhenUsed/>
    <w:pPr>
      <w:ind w:left="1701"/>
      <w:spacing w:after="57"/>
    </w:pPr>
  </w:style>
  <w:style w:type="paragraph" w:styleId="308">
    <w:name w:val="toc 8"/>
    <w:basedOn w:val="215"/>
    <w:next w:val="215"/>
    <w:uiPriority w:val="39"/>
    <w:unhideWhenUsed/>
    <w:pPr>
      <w:ind w:left="1984"/>
      <w:spacing w:after="57"/>
    </w:pPr>
  </w:style>
  <w:style w:type="paragraph" w:styleId="309">
    <w:name w:val="toc 9"/>
    <w:basedOn w:val="215"/>
    <w:next w:val="215"/>
    <w:uiPriority w:val="39"/>
    <w:unhideWhenUsed/>
    <w:pPr>
      <w:ind w:left="2268"/>
      <w:spacing w:after="57"/>
    </w:pPr>
  </w:style>
  <w:style w:type="paragraph" w:styleId="310">
    <w:name w:val="TOC Heading"/>
    <w:uiPriority w:val="39"/>
    <w:unhideWhenUsed/>
  </w:style>
  <w:style w:type="paragraph" w:styleId="311" w:customStyle="1">
    <w:name w:val="Звичайний"/>
    <w:link w:val="31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312" w:customStyle="1">
    <w:name w:val="Підзаголовок"/>
    <w:basedOn w:val="311"/>
    <w:rPr>
      <w:color w:val="000000"/>
      <w:sz w:val="28"/>
      <w:szCs w:val="30"/>
      <w:lang w:val="ru-RU"/>
    </w:rPr>
    <w:pPr>
      <w:shd w:val="clear" w:color="auto" w:fill="FFFFFF"/>
    </w:pPr>
  </w:style>
  <w:style w:type="paragraph" w:styleId="313" w:customStyle="1">
    <w:name w:val="ДинТекстОбыч"/>
    <w:basedOn w:val="311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314">
    <w:name w:val="List Paragraph"/>
    <w:basedOn w:val="215"/>
    <w:qFormat/>
    <w:uiPriority w:val="34"/>
    <w:pPr>
      <w:contextualSpacing w:val="true"/>
      <w:ind w:left="720"/>
    </w:pPr>
  </w:style>
  <w:style w:type="paragraph" w:styleId="315">
    <w:name w:val="No Spacing"/>
    <w:qFormat/>
    <w:uiPriority w:val="1"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table" w:styleId="316" w:customStyle="1">
    <w:name w:val="Сетка таблицы1"/>
    <w:basedOn w:val="226"/>
    <w:next w:val="317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317">
    <w:name w:val="Table Grid"/>
    <w:basedOn w:val="22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18">
    <w:name w:val="Balloon Text"/>
    <w:basedOn w:val="215"/>
    <w:link w:val="3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19" w:customStyle="1">
    <w:name w:val="Текст выноски Знак"/>
    <w:basedOn w:val="225"/>
    <w:link w:val="318"/>
    <w:uiPriority w:val="99"/>
    <w:semiHidden/>
    <w:rPr>
      <w:rFonts w:ascii="Segoe UI" w:hAnsi="Segoe UI" w:cs="Segoe UI" w:eastAsia="Times New Roman"/>
      <w:sz w:val="18"/>
      <w:szCs w:val="18"/>
      <w:lang w:bidi="en-US"/>
    </w:rPr>
  </w:style>
  <w:style w:type="paragraph" w:styleId="320">
    <w:name w:val="Normal (Web)"/>
    <w:basedOn w:val="215"/>
    <w:uiPriority w:val="99"/>
    <w:semiHidden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