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2"/>
                <wp:effectExtent l="19047" t="0" r="9522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(тридцять шоста сесія сьомого скликання)</w:t>
      </w:r>
      <w:r/>
    </w:p>
    <w:p>
      <w:pPr>
        <w:ind w:left="15" w:hanging="12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tabs>
          <w:tab w:val="left" w:pos="4536" w:leader="none"/>
          <w:tab w:val="left" w:pos="76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 грудня 2019 року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№667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670"/>
        <w:jc w:val="both"/>
        <w:keepNext/>
        <w:rPr>
          <w:rFonts w:ascii="Times New Roman" w:hAnsi="Times New Roman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670"/>
        <w:jc w:val="both"/>
        <w:keepNext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погодження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Програми розвитку фізичної культури і спорту в Менській об’єднаній територіальній громаді на 2020-2022 роки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популяризації здорового способу життя, залучення всіх верств населення до систематичних занять фізичною культурою і спортом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відповідно до Закону України «Про фізичну культуру і спорт»,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пунктом 22 частини 1, статті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ВИРІШИ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</w:t>
      </w:r>
      <w:r>
        <w:rPr>
          <w:rFonts w:ascii="Times New Roman" w:hAnsi="Times New Roman"/>
          <w:sz w:val="28"/>
          <w:szCs w:val="28"/>
        </w:rPr>
        <w:t xml:space="preserve"> Програму розвитку фізичної культури і спорту в Менській об’єднаній територіальній громаді на 2020-2022 роки згідно Додатку 1 до даного рішення.</w:t>
      </w:r>
      <w:r/>
    </w:p>
    <w:p>
      <w:pPr>
        <w:pStyle w:val="244"/>
        <w:numPr>
          <w:ilvl w:val="0"/>
          <w:numId w:val="2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Сектору сім’ї, молоді та спорту Менської міської ради забезпечити організоване виконання заходів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244"/>
        <w:numPr>
          <w:ilvl w:val="0"/>
          <w:numId w:val="2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Вишняк Т.С., заступника міського голови з питань діяльності виконкому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Г.А.Примаков</w:t>
      </w:r>
      <w:r/>
    </w:p>
    <w:p>
      <w:pPr>
        <w:rPr>
          <w:rFonts w:ascii="Times New Roman" w:hAnsi="Times New Roman" w:eastAsia="Times New Roman"/>
          <w:bCs/>
          <w:iCs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Cs w:val="28"/>
          <w:lang w:eastAsia="ru-RU"/>
        </w:rPr>
      </w:r>
      <w:r/>
    </w:p>
    <w:p>
      <w:pPr>
        <w:spacing w:lineRule="auto" w:line="276" w:after="200"/>
        <w:rPr>
          <w:rFonts w:ascii="Times New Roman" w:hAnsi="Times New Roman" w:eastAsia="Times New Roman"/>
          <w:bCs/>
          <w:iCs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Cs w:val="28"/>
          <w:lang w:eastAsia="ru-RU"/>
        </w:rPr>
        <w:br w:type="page"/>
      </w:r>
      <w:r/>
    </w:p>
    <w:p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Cs w:val="28"/>
          <w:lang w:eastAsia="ru-RU"/>
        </w:rPr>
        <w:t xml:space="preserve">Додаток 1 до рішення 36 </w:t>
      </w:r>
      <w:r>
        <w:rPr>
          <w:rFonts w:ascii="Times New Roman" w:hAnsi="Times New Roman" w:eastAsia="Times New Roman"/>
          <w:bCs/>
          <w:iCs/>
          <w:szCs w:val="28"/>
          <w:lang w:eastAsia="ru-RU"/>
        </w:rPr>
        <w:t xml:space="preserve">сесії</w:t>
      </w:r>
      <w:r>
        <w:rPr>
          <w:rFonts w:ascii="Times New Roman" w:hAnsi="Times New Roman" w:eastAsia="Times New Roman"/>
          <w:bCs/>
          <w:iCs/>
          <w:szCs w:val="28"/>
          <w:lang w:eastAsia="ru-RU"/>
        </w:rPr>
        <w:t xml:space="preserve"> Менської міської ради 7 скликання від 26.12.2019 №667 «</w:t>
      </w:r>
      <w:r>
        <w:rPr>
          <w:rFonts w:ascii="Times New Roman" w:hAnsi="Times New Roman"/>
          <w:bCs/>
          <w:iCs/>
          <w:szCs w:val="28"/>
          <w:lang w:eastAsia="ru-RU"/>
        </w:rPr>
        <w:t xml:space="preserve">Про погодження Програми розвитку фізичної культури і спорту в Менській об'єднаній територіальній громаді на 2020-2022 роки»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розвитку фізичної культури і спорту в Менській об’єднаній територіальній громаді на 2020-2022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рік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24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85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рада, сектор сім’ї, молоді та спорту Менської міської ради, відділ освіти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– 2022 роки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бюджет, інші джерела фінансування незаборонені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тис. грн.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Всього: 953,6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роках: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2020 рік -262,0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рік -314,4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рік -377,2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536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W w:w="4785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бюджет, інші джерела фінансування незаборонені законодавством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Визначення проблеми, на розв’язання якої спрямована Програма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Фізична культура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В той же час фізична культура і спорт є складовою частиною освітнього процесу підростаю</w:t>
      </w:r>
      <w:r>
        <w:rPr>
          <w:rFonts w:ascii="Times New Roman" w:hAnsi="Times New Roman"/>
          <w:sz w:val="28"/>
          <w:szCs w:val="28"/>
        </w:rPr>
        <w:t xml:space="preserve">чого покоління.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  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сучасних умовах в Україні склалася критична ситуація із станом здоров’я населення. Майже 70% дорослих громадян держави мають низький рівень фізичного здоров’я. В  Менській міській раді проводиться певна робота, спрямована на покращення умов розвитку мас</w:t>
      </w:r>
      <w:r>
        <w:rPr>
          <w:rFonts w:ascii="Times New Roman" w:hAnsi="Times New Roman"/>
          <w:sz w:val="28"/>
          <w:szCs w:val="28"/>
        </w:rPr>
        <w:t xml:space="preserve">ової фізичної культури і спорту, збереження всіх складових її діяльності. Проте рівень розвитку фізичного виховання, фізичної культури і спорту далеко не відповідає вимогам сьогодення і не може задовольнити потреб населення громади.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Практично відсутня система пропаганди масового спорту як невід’ємної і головної складової здорового способу життя. Мало уваги приділяється фізичному вихованню в сім’ях. Похідним таких соціальних недоліків є те, що катастрофічно не задовольняється природно</w:t>
      </w:r>
      <w:r>
        <w:rPr>
          <w:rFonts w:ascii="Times New Roman" w:hAnsi="Times New Roman"/>
          <w:sz w:val="28"/>
          <w:szCs w:val="28"/>
        </w:rPr>
        <w:t xml:space="preserve">-біологічна потреба дітей, учнівської молоді у руховій активності, що негативно позначається на їх </w:t>
      </w:r>
      <w:r>
        <w:rPr>
          <w:rFonts w:ascii="Times New Roman" w:hAnsi="Times New Roman"/>
          <w:sz w:val="28"/>
          <w:szCs w:val="28"/>
        </w:rPr>
        <w:t xml:space="preserve">здоров’ї. Щороку збільшується кількість учнів, віднесених за станом здоров’я до спеціальних медичних груп.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спортивних заходів, поліпшення матеріально-технічної бази сфери фізичної культури і спорту тощо.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із основних заходів, що поліпшує стан здоров’я людини, запобігає розвитку різного роду захворювань – є формування у населення свідомого ставлення до свого здоров’я та здоров’я оточуючих. Адже у структурі факторів, що формують здоров’я на умови та сп</w:t>
      </w:r>
      <w:r>
        <w:rPr>
          <w:rFonts w:ascii="Times New Roman" w:hAnsi="Times New Roman"/>
          <w:sz w:val="28"/>
          <w:szCs w:val="28"/>
        </w:rPr>
        <w:t xml:space="preserve">осіб життя припадає майже 70 відсотків.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Звідси випливає гостра потреба у визначенні програмних підходів та пріоритетних напрямів розвитку фізичного виховання, фізичної культури і спорту які б забезпечували ефективне функціонування галузі в сучасних умовах розвитку суспільства. 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розроблена відповідно до Закону України «Про фізичну культуру і спорт» і розрахована на 2020-2022 роки, що дасть можливість виконати поставлені завдання згідно із сучасними потребами економічного та соціального розвитку країни. Програма повинна с</w:t>
      </w:r>
      <w:r>
        <w:rPr>
          <w:rFonts w:ascii="Times New Roman" w:hAnsi="Times New Roman"/>
          <w:sz w:val="28"/>
          <w:szCs w:val="28"/>
        </w:rPr>
        <w:t xml:space="preserve">прияти</w:t>
      </w:r>
      <w:r>
        <w:rPr>
          <w:rFonts w:ascii="Times New Roman" w:hAnsi="Times New Roman"/>
          <w:sz w:val="28"/>
          <w:szCs w:val="28"/>
        </w:rPr>
        <w:t xml:space="preserve"> поліпшенню становища, що склалося та підвищенню авторитету фізичної культури і спорту в громаді.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Мета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визначає стратегію розвитку сфери фізичної культури та спорту в Менській міській раді на 2020 – 2022 роки.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Програми є: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популяризація здорового способу життя, забезпечення розвитку таких напрямів фізичної культури як фізичне виховання та масовий спорт і створення умов для регулярної рухової активності різних верств населення з урахуванням інтересів, побажань, здібностей та</w:t>
      </w:r>
      <w:r>
        <w:rPr>
          <w:rFonts w:ascii="Times New Roman" w:hAnsi="Times New Roman"/>
          <w:sz w:val="28"/>
          <w:szCs w:val="28"/>
        </w:rPr>
        <w:t xml:space="preserve"> індивідуальних особливостей кожного;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умов для залучення дітей, у тому числі і дітей з інвалідністю,  до занять фізичною культурою;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цілісної системи взаємодії державних та громадських інституцій в реалізації державної політики у сфері фізичної культури і спорту.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Основні завдання та заходи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завданнями Програми є: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створення умов для фізичного виховання, масового спорту, за місцем роботи, проживання та місцях масового відпочинку всіх верств населення;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розвитку дитячо-юнацького спорту та спорту вищих досягнень;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забезпечення розвитку олімпійських та не олімпійських видів спорту, видів спорту інвалідів.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щодо реалізації програми вкладені в додатку №1 до програми.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Обґрунтування шляхів і засобів розв’язання проблем</w:t>
      </w:r>
      <w:r/>
    </w:p>
    <w:p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Розв’язання проблем здійснюється зокрема</w:t>
      </w:r>
      <w:r>
        <w:rPr>
          <w:sz w:val="28"/>
          <w:szCs w:val="28"/>
        </w:rPr>
        <w:t xml:space="preserve">:</w:t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підтримання та розвиток олімпійського, не олімпійського, дефлімпійського та паралімпійського руху;</w:t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взаємодія з громадськими організаціями фізкультурно-спортивної спрямованості та іншими суб’єктами сфери фізичної культури і спорту;</w:t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здорового способу життя, подолання стану суспільної байдужості до здоров</w:t>
      </w:r>
      <w:r>
        <w:rPr>
          <w:rFonts w:cs="Microsoft Himalaya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</w:rPr>
        <w:t xml:space="preserve">я нації.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Очікувані результати, ефективність Програми</w:t>
      </w:r>
      <w:r/>
    </w:p>
    <w:p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програми дасть можливість:</w:t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залучати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змістовного дозвілля та відпочинку населення, насамперед молодь, із щорічним збільшенням на 1 - 2 відсотки рівня охоплення населення руховою активністю в обсязі до 30 хвилин щодня;</w:t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збі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льшити обсяг рухової активності жителів громади;</w:t>
      </w:r>
      <w:r>
        <w:rPr>
          <w:rFonts w:ascii="Times New Roman" w:hAnsi="Times New Roman"/>
          <w:sz w:val="28"/>
          <w:shd w:val="clear" w:color="auto" w:fill="FFFFFF"/>
        </w:rPr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створити умови для розвитку резервного спорту та поповнення основного складу національних збірних команд;</w:t>
      </w:r>
      <w:r>
        <w:rPr>
          <w:rFonts w:ascii="Times New Roman" w:hAnsi="Times New Roman"/>
          <w:sz w:val="28"/>
          <w:shd w:val="clear" w:color="auto" w:fill="FFFFFF"/>
        </w:rPr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щороку зменшувати відсоток кількості населення, особливо дітей та молоді, віднесених за станом здоров’я до спеціальної медичної групи;</w:t>
      </w:r>
      <w:r>
        <w:rPr>
          <w:rFonts w:ascii="Times New Roman" w:hAnsi="Times New Roman"/>
          <w:sz w:val="28"/>
          <w:shd w:val="clear" w:color="auto" w:fill="FFFFFF"/>
        </w:rPr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привести стан спортивних об’єктів Менської міської ради у відповідність із сучасними стандартами, що надасть змогу забезпечити на спортивних спорудах мінімальний (науково обґрунтований) обсяг рухової активності громадян;</w:t>
      </w:r>
      <w:r>
        <w:rPr>
          <w:rFonts w:ascii="Times New Roman" w:hAnsi="Times New Roman"/>
          <w:sz w:val="28"/>
          <w:shd w:val="clear" w:color="auto" w:fill="FFFFFF"/>
        </w:rPr>
      </w:r>
      <w:r/>
    </w:p>
    <w:p>
      <w:pPr>
        <w:pStyle w:val="244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підвищ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ити авторитет Менської об’єднаної територіальної громади  у обласному, всеукраїнському спортивному співтоваристві.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Нагородження кращих спортсменів та тренерів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підвищення рівня престижності спорту на території громади, збільшення зацікавленості до занять фізичною культурою і спортом в кінці кожного року нагороджувати кращих спортсменів, команд та тренерів Менської об’єднаної територіальної громади з розрахунко</w:t>
      </w:r>
      <w:r>
        <w:rPr>
          <w:rFonts w:ascii="Times New Roman" w:hAnsi="Times New Roman"/>
          <w:sz w:val="28"/>
          <w:szCs w:val="28"/>
        </w:rPr>
        <w:t xml:space="preserve">м участі у змаганнях різних рангів затверджених Єдиною спортивною класифікацією України для визнаних видів спорту в Україні: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ранг - Ігри Олімпіад, зимові Олімпійські ігри, Паралімпійські ігри, Дефлімпійські ігри, Всесвітні ігри;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n141"/>
      <w:r/>
      <w:bookmarkEnd w:id="0"/>
      <w:r>
        <w:rPr>
          <w:rFonts w:ascii="Times New Roman" w:hAnsi="Times New Roman"/>
          <w:sz w:val="28"/>
          <w:szCs w:val="28"/>
        </w:rPr>
        <w:t xml:space="preserve">II ранг - чемпіонати світу та Європи серед спортсменів усіх вікових груп, Глобальні ігри, розіграші Кубків світу та Європи, гран-прі, Всесвітні шахові олімпіади, Всесвітні інтелектуальні ігри, Всесвітні ігри з єдиноборств, Всесвітні ігри серед інвалідів, Юн</w:t>
      </w:r>
      <w:r>
        <w:rPr>
          <w:rFonts w:ascii="Times New Roman" w:hAnsi="Times New Roman"/>
          <w:sz w:val="28"/>
          <w:szCs w:val="28"/>
        </w:rPr>
        <w:t xml:space="preserve">ацькі олімпійські ігри, Всесвітні Універсіади, Європейські спортивні ігри, інші міжнародні змагання, що включені до календарних планів міжнародних федерацій та федерацій інвалідів з відповідних нозологій;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1" w:name="n142"/>
      <w:r/>
      <w:bookmarkEnd w:id="1"/>
      <w:r>
        <w:rPr>
          <w:rFonts w:ascii="Times New Roman" w:hAnsi="Times New Roman"/>
          <w:sz w:val="28"/>
          <w:szCs w:val="28"/>
        </w:rPr>
        <w:t xml:space="preserve">III ранг - чемпіонати України, розіграші Кубків України, інші офіційні всеукраїнські змагання, що включені до Єдиного календарного плану фізкультурно-оздоровчих та спортивних заходів України, крім молодших вікових груп;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2" w:name="n143"/>
      <w:r/>
      <w:bookmarkEnd w:id="2"/>
      <w:r>
        <w:rPr>
          <w:rFonts w:ascii="Times New Roman" w:hAnsi="Times New Roman"/>
          <w:sz w:val="28"/>
          <w:szCs w:val="28"/>
        </w:rPr>
        <w:t xml:space="preserve">IV ранг - чемпіонати України, інші офіційні всеукраїнські змагання серед спортсменів молодших вікових груп, що включені до Єдиного календарного плану фізкультурно-оздоровчих та спортивних заходів України;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3" w:name="n144"/>
      <w:r/>
      <w:bookmarkEnd w:id="3"/>
      <w:r>
        <w:rPr>
          <w:rFonts w:ascii="Times New Roman" w:hAnsi="Times New Roman"/>
          <w:sz w:val="28"/>
          <w:szCs w:val="28"/>
        </w:rPr>
        <w:t xml:space="preserve">V ранг - чемпіонати Автономної Республіки Крим, областей, міст Києва, Севастополя, фізкультурно-спортивних товариств (далі - ФСТ), крім молодших вікових груп, зональні змагання, що включені до відповідних календарних планів спортивних змагань;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4" w:name="n145"/>
      <w:r/>
      <w:bookmarkEnd w:id="4"/>
      <w:r>
        <w:rPr>
          <w:rFonts w:ascii="Times New Roman" w:hAnsi="Times New Roman"/>
          <w:sz w:val="28"/>
          <w:szCs w:val="28"/>
        </w:rPr>
        <w:t xml:space="preserve">VI ранг - чемпіонати областей, ФСТ серед спортсменів молодших вікових груп, чемпіонати міст, районів, спортивних клубів, дитячо-юнацьких спортивних шкіл, спеціалізованих навчальних закладів спортивного профілю та інші, що включені до відповідних календарних</w:t>
      </w:r>
      <w:r>
        <w:rPr>
          <w:rFonts w:ascii="Times New Roman" w:hAnsi="Times New Roman"/>
          <w:sz w:val="28"/>
          <w:szCs w:val="28"/>
        </w:rPr>
        <w:t xml:space="preserve"> планів спортивних змагань.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документі для отримання одноразової премії:</w:t>
      </w:r>
      <w:r/>
    </w:p>
    <w:p>
      <w:pPr>
        <w:pStyle w:val="24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тренера;</w:t>
      </w:r>
      <w:r/>
    </w:p>
    <w:p>
      <w:pPr>
        <w:pStyle w:val="24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витяг з протоколу змагання або грамота;</w:t>
      </w:r>
      <w:r/>
    </w:p>
    <w:p>
      <w:pPr>
        <w:pStyle w:val="24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копії паспорта (свідоцтва про народження), </w:t>
      </w:r>
      <w:hyperlink r:id="rId10" w:history="1"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ідентифікаційного номера фізичної особи</w:t>
        </w:r>
      </w:hyperlink>
      <w: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245"/>
        <w:tblW w:w="0" w:type="auto"/>
        <w:tblLook w:val="04A0" w:firstRow="1" w:lastRow="0" w:firstColumn="1" w:lastColumn="0" w:noHBand="0" w:noVBand="1"/>
      </w:tblPr>
      <w:tblGrid>
        <w:gridCol w:w="1642"/>
        <w:gridCol w:w="5270"/>
        <w:gridCol w:w="2858"/>
      </w:tblGrid>
      <w:tr>
        <w:trPr>
          <w:trHeight w:val="595"/>
        </w:trPr>
        <w:tc>
          <w:tcPr>
            <w:tcW w:w="16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Ранг змагань</w:t>
            </w:r>
            <w:r>
              <w:rPr>
                <w:sz w:val="18"/>
              </w:rPr>
            </w:r>
            <w:r/>
          </w:p>
        </w:tc>
        <w:tc>
          <w:tcPr>
            <w:tcW w:w="527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Зайняті місця</w:t>
            </w:r>
            <w:r>
              <w:rPr>
                <w:sz w:val="18"/>
              </w:rPr>
            </w:r>
            <w:r/>
          </w:p>
        </w:tc>
        <w:tc>
          <w:tcPr>
            <w:tcW w:w="28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Сума премії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(грн..)</w:t>
            </w:r>
            <w:r>
              <w:rPr>
                <w:sz w:val="18"/>
              </w:rPr>
            </w:r>
            <w:r/>
          </w:p>
        </w:tc>
      </w:tr>
      <w:tr>
        <w:trPr>
          <w:trHeight w:val="304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</w:t>
            </w:r>
            <w:r/>
          </w:p>
        </w:tc>
        <w:tc>
          <w:tcPr>
            <w:tcBorders>
              <w:bottom w:val="single" w:sz="4" w:space="0" w:color="auto"/>
            </w:tcBorders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5000</w:t>
            </w:r>
            <w:r/>
          </w:p>
        </w:tc>
      </w:tr>
      <w:tr>
        <w:trPr>
          <w:trHeight w:val="225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</w:t>
            </w:r>
            <w:r/>
          </w:p>
        </w:tc>
      </w:tr>
      <w:tr>
        <w:trPr>
          <w:trHeight w:val="195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</w:t>
            </w:r>
            <w:r/>
          </w:p>
        </w:tc>
        <w:tc>
          <w:tcPr>
            <w:tcBorders>
              <w:bottom w:val="single" w:sz="4" w:space="0" w:color="auto"/>
            </w:tcBorders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</w:t>
            </w:r>
            <w:r/>
          </w:p>
        </w:tc>
      </w:tr>
      <w:tr>
        <w:trPr>
          <w:trHeight w:val="120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</w:tcBorders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ІІІ- IV</w:t>
            </w:r>
            <w:r/>
          </w:p>
        </w:tc>
        <w:tc>
          <w:tcPr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V-VII</w:t>
            </w:r>
            <w:r/>
          </w:p>
        </w:tc>
        <w:tc>
          <w:tcPr>
            <w:tcW w:w="527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285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Фінансове забезпечення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Прогнозований обсяг фінансових ресурсів на 2020 - 2022 роки: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</w:r>
      <w:r/>
    </w:p>
    <w:tbl>
      <w:tblPr>
        <w:tblStyle w:val="245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Джерела 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Обсяг 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(тис. грн.)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У тому числі за роками</w:t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2022</w:t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 бюджети</w:t>
            </w:r>
            <w:r/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953,6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262,0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314,4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377,2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відбувається відповідно до положення про захід, кошторису заходу який розробляється Сектором сім’ї, молоді та спорту та подається на погодження міському голові.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Управління та 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Головним виконавцем Програми є Сектор сім’ї, молоді та спорту Менської міської ради. Контроль за її виконанням здійснює заступник міського голови з питань діяльності виконкому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76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103"/>
        <w:jc w:val="both"/>
        <w:rPr>
          <w:rFonts w:ascii="Times New Roman" w:hAnsi="Times New Roman" w:eastAsia="Times New Roman"/>
          <w:bCs/>
          <w:iCs/>
          <w:sz w:val="20"/>
          <w:szCs w:val="28"/>
          <w:lang w:eastAsia="ru-RU"/>
        </w:rPr>
        <w:sectPr>
          <w:footerReference w:type="default" r:id="rId8"/>
          <w:footnotePr/>
          <w:type w:val="nextPage"/>
          <w:pgSz w:w="11906" w:h="16838"/>
          <w:pgMar w:top="850" w:right="850" w:bottom="850" w:left="1417" w:gutter="0" w:header="708" w:footer="708"/>
          <w:pgNumType w:start="2"/>
          <w:cols w:num="1" w:sep="0" w:space="708" w:equalWidth="1"/>
          <w:docGrid w:linePitch="360"/>
        </w:sectPr>
      </w:pPr>
      <w:r>
        <w:rPr>
          <w:rFonts w:ascii="Times New Roman" w:hAnsi="Times New Roman" w:eastAsia="Times New Roman"/>
          <w:bCs/>
          <w:iCs/>
          <w:sz w:val="20"/>
          <w:szCs w:val="28"/>
          <w:lang w:eastAsia="ru-RU"/>
        </w:rPr>
      </w:r>
      <w:r/>
    </w:p>
    <w:p>
      <w:pPr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Cs w:val="28"/>
          <w:lang w:eastAsia="ru-RU"/>
        </w:rPr>
        <w:t xml:space="preserve">Додаток 1 до «</w:t>
      </w:r>
      <w:r>
        <w:rPr>
          <w:rFonts w:ascii="Times New Roman" w:hAnsi="Times New Roman"/>
          <w:bCs/>
          <w:iCs/>
          <w:szCs w:val="28"/>
          <w:lang w:eastAsia="ru-RU"/>
        </w:rPr>
        <w:t xml:space="preserve">Програми розвитку фізичної культури і спорту в Менській об'єднаній територіальній громаді на 2020-2022 роки»</w:t>
      </w:r>
      <w:r/>
    </w:p>
    <w:p>
      <w:pPr>
        <w:ind w:left="1190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</w:r>
      <w:r/>
    </w:p>
    <w:tbl>
      <w:tblPr>
        <w:tblStyle w:val="245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793"/>
        <w:gridCol w:w="4252"/>
        <w:gridCol w:w="1276"/>
        <w:gridCol w:w="1276"/>
        <w:gridCol w:w="850"/>
        <w:gridCol w:w="840"/>
        <w:gridCol w:w="10"/>
        <w:gridCol w:w="850"/>
        <w:gridCol w:w="851"/>
      </w:tblGrid>
      <w:tr>
        <w:trPr>
          <w:trHeight w:val="495"/>
        </w:trPr>
        <w:tc>
          <w:tcPr>
            <w:tcW w:w="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№</w:t>
            </w:r>
            <w:r>
              <w:rPr>
                <w:b w:val="false"/>
                <w:sz w:val="22"/>
              </w:rPr>
            </w:r>
            <w:r/>
          </w:p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з/п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W w:w="47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Зміст заходу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Виконавці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Термін виконання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Джерела фінансування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  <w:szCs w:val="24"/>
              </w:rPr>
            </w:pPr>
            <w:r>
              <w:rPr>
                <w:rFonts w:ascii="Times New Roman" w:hAnsi="Times New Roman"/>
                <w:b w:val="false"/>
                <w:sz w:val="16"/>
                <w:szCs w:val="24"/>
              </w:rPr>
              <w:t xml:space="preserve">Обсяги фінансування (тис. грн.)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bottom w:val="single" w:sz="4" w:space="0" w:color="auto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sz w:val="16"/>
              </w:rPr>
              <w:t xml:space="preserve">У тому числі за роками</w:t>
            </w:r>
            <w:r>
              <w:rPr>
                <w:b w:val="false"/>
                <w:sz w:val="22"/>
              </w:rPr>
            </w:r>
            <w:r/>
          </w:p>
        </w:tc>
      </w:tr>
      <w:tr>
        <w:trPr>
          <w:trHeight w:val="424"/>
        </w:trPr>
        <w:tc>
          <w:tcPr>
            <w:tcW w:w="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7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25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sz w:val="16"/>
              </w:rPr>
              <w:t xml:space="preserve">2020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sz w:val="16"/>
              </w:rPr>
              <w:t xml:space="preserve">2021</w:t>
            </w:r>
            <w:r>
              <w:rPr>
                <w:b w:val="false"/>
                <w:sz w:val="22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6"/>
              </w:rPr>
            </w:pPr>
            <w:r>
              <w:rPr>
                <w:rFonts w:ascii="Times New Roman" w:hAnsi="Times New Roman"/>
                <w:b w:val="false"/>
                <w:sz w:val="16"/>
              </w:rPr>
              <w:t xml:space="preserve">2022</w:t>
            </w:r>
            <w:r>
              <w:rPr>
                <w:b w:val="false"/>
                <w:sz w:val="22"/>
              </w:rPr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</w:t>
            </w:r>
            <w:r/>
          </w:p>
        </w:tc>
      </w:tr>
      <w:tr>
        <w:trPr>
          <w:trHeight w:val="500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І. Створення 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  <w:r/>
          </w:p>
        </w:tc>
      </w:tr>
      <w:tr>
        <w:trPr>
          <w:trHeight w:val="269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фізкультурно-оздоровчих і спортивних заходів для різних верств населення. 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ради.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Залучення працюючих осіб підприємств, установ та організацій різних форм власності до занять фізичною культурою і спортом.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комплексних змагань серед учнів загальноосвітніх навчальних закладів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7,2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Проведення на центральних площах, у місцях масового зібрання громадян спортивно-масових заходів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участі команд громади у міжрайонних, обласних та всеукраїнських змаганнях (спартакіади, матчеві зустрічі, кубки, турніри тощо.)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54,6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21,6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Проведення змагань серед допризовної молоді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ради, відділ освіти Менської </w:t>
            </w:r>
            <w:r>
              <w:rPr>
                <w:rFonts w:ascii="Times New Roman" w:hAnsi="Times New Roman"/>
              </w:rPr>
              <w:t xml:space="preserve">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10,9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3,6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4,3</w:t>
            </w:r>
            <w:r/>
          </w:p>
        </w:tc>
      </w:tr>
      <w:tr>
        <w:trPr>
          <w:trHeight w:val="285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156,5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51,6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61,9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/>
            <w:bookmarkStart w:id="5" w:name="_GoBack"/>
            <w:r/>
            <w:bookmarkEnd w:id="5"/>
            <w:r>
              <w:rPr>
                <w:rFonts w:ascii="Times New Roman" w:hAnsi="Times New Roman"/>
                <w:b/>
              </w:rPr>
              <w:t xml:space="preserve">ІІ. Забезпечення розвитку дитячо-юнацького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Залучення дітей та молоді громади до занять у  Менській дитячо-юнацькій спортивній школі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ради, Менська ДЮСШ, відділ освіти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спортивних змагань місцевого рівня (матчевих зустрічей, міжрайонних змагань, кубків, чемпіонатів) з визначених у державі видів спорту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ради, Менська ДЮСШ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36,4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36,4</w:t>
            </w:r>
            <w:r/>
          </w:p>
        </w:tc>
        <w:tc>
          <w:tcPr>
            <w:gridSpan w:val="2"/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ІІІ. Підтримка та розвиток олімпійського, не олімпійського, паралімпійського та дефлімпійського руху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підготовки та участі спортсменів громади різних вікових груп у спортивних змаганнях міжнародного, всеукраїнського, обласного та міжрайонного рівня з визнаних у державі видів спорту (чемпіонати, кубки, турніри тощо).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спортивних змагань з визнаних у державі видів спорту серед спортсменів різних вікових груп </w:t>
            </w:r>
            <w:r>
              <w:rPr>
                <w:rFonts w:ascii="Times New Roman" w:hAnsi="Times New Roman"/>
              </w:rPr>
              <w:t xml:space="preserve">(чемпіонати, кубки, турніри тощо)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144,0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473,2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156,0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187,2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IV. Популяризація здорового способу життя та подолання соціальної байдужості до здоров’я населення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та сприяння випуску поліграфічної продукції, фото та відеоматеріалів, впровадження соціальної реклами щодо пропаганди здорового способу життя, популяризація занять фізичною культурою та спортом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інформаційно-просвітницьких акцій, конкурсів, фізкультурно-оздоровчих заходів до дат визначених ВООЗ та МОЗ України: Всесвітнього дня здоров’я, Всесвітнього дня боротьби з тютюнопалінням, Всесвітнього дня боротьби з наркоманією, Мі</w:t>
            </w:r>
            <w:r>
              <w:rPr>
                <w:rFonts w:ascii="Times New Roman" w:hAnsi="Times New Roman"/>
              </w:rPr>
              <w:t xml:space="preserve">жнародного дня відмови від паління. 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ради, відділ освіти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18,2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7,2</w:t>
            </w:r>
            <w:r/>
          </w:p>
        </w:tc>
      </w:tr>
      <w:tr>
        <w:trPr>
          <w:trHeight w:val="118"/>
        </w:trPr>
        <w:tc>
          <w:tcPr>
            <w:gridSpan w:val="10"/>
            <w:tcW w:w="1541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ІV. Поліпшення матеріально-технічної, фінансової, інформаційного забезпечення сфери фізичної культури і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Створення спортивних клубів на території Менської громади.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Придбання спортивного обладнання, екіпірування та інвентарю для клубів, секцій установ які забезпечують розвиток фізичної культури і спорту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218,4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72,0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86,4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інформаційно-просвітницьких заходів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підвищення рівня культури харчування, небезпеки активного та пасивного тютюнопаління, вживання алкоголю та наркоманії.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</w:t>
            </w:r>
            <w:r>
              <w:rPr>
                <w:rFonts w:ascii="Times New Roman" w:hAnsi="Times New Roman"/>
              </w:rPr>
              <w:t xml:space="preserve">міської ради, відділ освіти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Підведення підсумків спортивного року (нагородження кращих спортсменів, тренерів та команд Менської об’єднаної територіальної громади)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50,9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16,8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20,1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793" w:type="dxa"/>
            <w:textDirection w:val="lrTb"/>
            <w:noWrap/>
          </w:tcPr>
          <w:p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Залучення до співпраці, підприємств, установ громадських організацій (в тому числі фізкультурно-спортивної спрямованості) для розвитку фізичної культури і спорту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Сектор сім’ї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9462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269,3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88,8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106,5</w:t>
            </w:r>
            <w:r/>
          </w:p>
        </w:tc>
      </w:tr>
      <w:tr>
        <w:trPr>
          <w:trHeight w:val="118"/>
        </w:trPr>
        <w:tc>
          <w:tcPr>
            <w:gridSpan w:val="4"/>
            <w:tcW w:w="10737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РАЗОМ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953,6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262,0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</w:tcBorders>
            <w:tcW w:w="86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314,4</w:t>
            </w:r>
            <w:r/>
          </w:p>
        </w:tc>
        <w:tc>
          <w:tcPr>
            <w:tcBorders>
              <w:left w:val="single" w:sz="4" w:space="0" w:color="auto"/>
            </w:tcBorders>
            <w:tcW w:w="85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377,2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851" w:right="851" w:bottom="851" w:left="851" w:gutter="0" w:header="709" w:footer="709"/>
      <w:pgNumType w:start="2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Himalaya">
    <w:panose1 w:val="01000503020000020002"/>
  </w:font>
  <w:font w:name="Batang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bullet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Footnote Text Char"/>
    <w:link w:val="223"/>
    <w:uiPriority w:val="99"/>
    <w:rPr>
      <w:sz w:val="18"/>
    </w:rPr>
  </w:style>
  <w:style w:type="paragraph" w:styleId="183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184" w:default="1">
    <w:name w:val="Default Paragraph Font"/>
    <w:uiPriority w:val="1"/>
    <w:semiHidden/>
    <w:unhideWhenUsed/>
  </w:style>
  <w:style w:type="table" w:styleId="1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6" w:default="1">
    <w:name w:val="No List"/>
    <w:uiPriority w:val="99"/>
    <w:semiHidden/>
    <w:unhideWhenUsed/>
  </w:style>
  <w:style w:type="character" w:styleId="187" w:customStyle="1">
    <w:name w:val="Heading 1 Char"/>
    <w:basedOn w:val="184"/>
    <w:link w:val="235"/>
    <w:uiPriority w:val="9"/>
    <w:rPr>
      <w:rFonts w:ascii="Arial" w:hAnsi="Arial" w:cs="Arial" w:eastAsia="Arial"/>
      <w:sz w:val="40"/>
      <w:szCs w:val="40"/>
    </w:rPr>
  </w:style>
  <w:style w:type="character" w:styleId="188" w:customStyle="1">
    <w:name w:val="Heading 2 Char"/>
    <w:basedOn w:val="184"/>
    <w:link w:val="236"/>
    <w:uiPriority w:val="9"/>
    <w:rPr>
      <w:rFonts w:ascii="Arial" w:hAnsi="Arial" w:cs="Arial" w:eastAsia="Arial"/>
      <w:sz w:val="34"/>
    </w:rPr>
  </w:style>
  <w:style w:type="character" w:styleId="189" w:customStyle="1">
    <w:name w:val="Heading 3 Char"/>
    <w:basedOn w:val="184"/>
    <w:link w:val="237"/>
    <w:uiPriority w:val="9"/>
    <w:rPr>
      <w:rFonts w:ascii="Arial" w:hAnsi="Arial" w:cs="Arial" w:eastAsia="Arial"/>
      <w:sz w:val="30"/>
      <w:szCs w:val="30"/>
    </w:rPr>
  </w:style>
  <w:style w:type="character" w:styleId="190" w:customStyle="1">
    <w:name w:val="Heading 4 Char"/>
    <w:basedOn w:val="184"/>
    <w:link w:val="238"/>
    <w:uiPriority w:val="9"/>
    <w:rPr>
      <w:rFonts w:ascii="Arial" w:hAnsi="Arial" w:cs="Arial" w:eastAsia="Arial"/>
      <w:b/>
      <w:bCs/>
      <w:sz w:val="26"/>
      <w:szCs w:val="26"/>
    </w:rPr>
  </w:style>
  <w:style w:type="character" w:styleId="191" w:customStyle="1">
    <w:name w:val="Heading 5 Char"/>
    <w:basedOn w:val="184"/>
    <w:link w:val="239"/>
    <w:uiPriority w:val="9"/>
    <w:rPr>
      <w:rFonts w:ascii="Arial" w:hAnsi="Arial" w:cs="Arial" w:eastAsia="Arial"/>
      <w:b/>
      <w:bCs/>
      <w:sz w:val="24"/>
      <w:szCs w:val="24"/>
    </w:rPr>
  </w:style>
  <w:style w:type="character" w:styleId="192" w:customStyle="1">
    <w:name w:val="Heading 6 Char"/>
    <w:basedOn w:val="184"/>
    <w:link w:val="240"/>
    <w:uiPriority w:val="9"/>
    <w:rPr>
      <w:rFonts w:ascii="Arial" w:hAnsi="Arial" w:cs="Arial" w:eastAsia="Arial"/>
      <w:b/>
      <w:bCs/>
      <w:sz w:val="22"/>
      <w:szCs w:val="22"/>
    </w:rPr>
  </w:style>
  <w:style w:type="character" w:styleId="193" w:customStyle="1">
    <w:name w:val="Heading 7 Char"/>
    <w:basedOn w:val="184"/>
    <w:link w:val="2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4" w:customStyle="1">
    <w:name w:val="Heading 8 Char"/>
    <w:basedOn w:val="184"/>
    <w:link w:val="242"/>
    <w:uiPriority w:val="9"/>
    <w:rPr>
      <w:rFonts w:ascii="Arial" w:hAnsi="Arial" w:cs="Arial" w:eastAsia="Arial"/>
      <w:i/>
      <w:iCs/>
      <w:sz w:val="22"/>
      <w:szCs w:val="22"/>
    </w:rPr>
  </w:style>
  <w:style w:type="character" w:styleId="195" w:customStyle="1">
    <w:name w:val="Heading 9 Char"/>
    <w:basedOn w:val="184"/>
    <w:link w:val="243"/>
    <w:uiPriority w:val="9"/>
    <w:rPr>
      <w:rFonts w:ascii="Arial" w:hAnsi="Arial" w:cs="Arial" w:eastAsia="Arial"/>
      <w:i/>
      <w:iCs/>
      <w:sz w:val="21"/>
      <w:szCs w:val="21"/>
    </w:rPr>
  </w:style>
  <w:style w:type="character" w:styleId="196" w:customStyle="1">
    <w:name w:val="Title Char"/>
    <w:basedOn w:val="184"/>
    <w:link w:val="255"/>
    <w:uiPriority w:val="10"/>
    <w:rPr>
      <w:sz w:val="48"/>
      <w:szCs w:val="48"/>
    </w:rPr>
  </w:style>
  <w:style w:type="character" w:styleId="197" w:customStyle="1">
    <w:name w:val="Subtitle Char"/>
    <w:basedOn w:val="184"/>
    <w:link w:val="257"/>
    <w:uiPriority w:val="11"/>
    <w:rPr>
      <w:sz w:val="24"/>
      <w:szCs w:val="24"/>
    </w:rPr>
  </w:style>
  <w:style w:type="character" w:styleId="198" w:customStyle="1">
    <w:name w:val="Quote Char"/>
    <w:link w:val="262"/>
    <w:uiPriority w:val="29"/>
    <w:rPr>
      <w:i/>
    </w:rPr>
  </w:style>
  <w:style w:type="character" w:styleId="199" w:customStyle="1">
    <w:name w:val="Intense Quote Char"/>
    <w:link w:val="264"/>
    <w:uiPriority w:val="30"/>
    <w:rPr>
      <w:i/>
    </w:rPr>
  </w:style>
  <w:style w:type="character" w:styleId="200" w:customStyle="1">
    <w:name w:val="Header Char"/>
    <w:basedOn w:val="184"/>
    <w:link w:val="273"/>
    <w:uiPriority w:val="99"/>
  </w:style>
  <w:style w:type="character" w:styleId="201" w:customStyle="1">
    <w:name w:val="Footer Char"/>
    <w:basedOn w:val="184"/>
    <w:link w:val="275"/>
    <w:uiPriority w:val="99"/>
  </w:style>
  <w:style w:type="table" w:styleId="202" w:customStyle="1">
    <w:name w:val="Lined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3" w:customStyle="1">
    <w:name w:val="Lined - Accent 1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04" w:customStyle="1">
    <w:name w:val="Lined - Accent 2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05" w:customStyle="1">
    <w:name w:val="Lined - Accent 3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06" w:customStyle="1">
    <w:name w:val="Lined - Accent 4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7" w:customStyle="1">
    <w:name w:val="Lined - Accent 5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8" w:customStyle="1">
    <w:name w:val="Lined - Accent 6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09" w:customStyle="1">
    <w:name w:val="Bordered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0" w:customStyle="1">
    <w:name w:val="Bordered - Accent 1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1" w:customStyle="1">
    <w:name w:val="Bordered - Accent 2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2" w:customStyle="1">
    <w:name w:val="Bordered - Accent 3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3" w:customStyle="1">
    <w:name w:val="Bordered - Accent 4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14" w:customStyle="1">
    <w:name w:val="Bordered - Accent 5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15" w:customStyle="1">
    <w:name w:val="Bordered - Accent 6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16" w:customStyle="1">
    <w:name w:val="Bordered &amp; Lined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 w:customStyle="1">
    <w:name w:val="Bordered &amp; Lined - Accent 1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 w:customStyle="1">
    <w:name w:val="Bordered &amp; Lined - Accent 2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 w:customStyle="1">
    <w:name w:val="Bordered &amp; Lined - Accent 3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0" w:customStyle="1">
    <w:name w:val="Bordered &amp; Lined - Accent 4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 w:customStyle="1">
    <w:name w:val="Bordered &amp; Lined - Accent 5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 w:customStyle="1">
    <w:name w:val="Bordered &amp; Lined - Accent 6"/>
    <w:basedOn w:val="18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23">
    <w:name w:val="footnote text"/>
    <w:basedOn w:val="183"/>
    <w:link w:val="224"/>
    <w:uiPriority w:val="99"/>
    <w:semiHidden/>
    <w:unhideWhenUsed/>
    <w:rPr>
      <w:sz w:val="18"/>
    </w:rPr>
    <w:pPr>
      <w:spacing w:after="40"/>
    </w:pPr>
  </w:style>
  <w:style w:type="character" w:styleId="224" w:customStyle="1">
    <w:name w:val="Текст сноски Знак"/>
    <w:link w:val="223"/>
    <w:uiPriority w:val="99"/>
    <w:rPr>
      <w:sz w:val="18"/>
    </w:rPr>
  </w:style>
  <w:style w:type="character" w:styleId="225">
    <w:name w:val="footnote reference"/>
    <w:basedOn w:val="184"/>
    <w:uiPriority w:val="99"/>
    <w:unhideWhenUsed/>
    <w:rPr>
      <w:vertAlign w:val="superscript"/>
    </w:rPr>
  </w:style>
  <w:style w:type="paragraph" w:styleId="226">
    <w:name w:val="toc 1"/>
    <w:basedOn w:val="183"/>
    <w:next w:val="183"/>
    <w:uiPriority w:val="39"/>
    <w:unhideWhenUsed/>
    <w:pPr>
      <w:spacing w:after="57"/>
    </w:pPr>
  </w:style>
  <w:style w:type="paragraph" w:styleId="227">
    <w:name w:val="toc 2"/>
    <w:basedOn w:val="183"/>
    <w:next w:val="183"/>
    <w:uiPriority w:val="39"/>
    <w:unhideWhenUsed/>
    <w:pPr>
      <w:ind w:left="283"/>
      <w:spacing w:after="57"/>
    </w:pPr>
  </w:style>
  <w:style w:type="paragraph" w:styleId="228">
    <w:name w:val="toc 3"/>
    <w:basedOn w:val="183"/>
    <w:next w:val="183"/>
    <w:uiPriority w:val="39"/>
    <w:unhideWhenUsed/>
    <w:pPr>
      <w:ind w:left="567"/>
      <w:spacing w:after="57"/>
    </w:pPr>
  </w:style>
  <w:style w:type="paragraph" w:styleId="229">
    <w:name w:val="toc 4"/>
    <w:basedOn w:val="183"/>
    <w:next w:val="183"/>
    <w:uiPriority w:val="39"/>
    <w:unhideWhenUsed/>
    <w:pPr>
      <w:ind w:left="850"/>
      <w:spacing w:after="57"/>
    </w:pPr>
  </w:style>
  <w:style w:type="paragraph" w:styleId="230">
    <w:name w:val="toc 5"/>
    <w:basedOn w:val="183"/>
    <w:next w:val="183"/>
    <w:uiPriority w:val="39"/>
    <w:unhideWhenUsed/>
    <w:pPr>
      <w:ind w:left="1134"/>
      <w:spacing w:after="57"/>
    </w:pPr>
  </w:style>
  <w:style w:type="paragraph" w:styleId="231">
    <w:name w:val="toc 6"/>
    <w:basedOn w:val="183"/>
    <w:next w:val="183"/>
    <w:uiPriority w:val="39"/>
    <w:unhideWhenUsed/>
    <w:pPr>
      <w:ind w:left="1417"/>
      <w:spacing w:after="57"/>
    </w:pPr>
  </w:style>
  <w:style w:type="paragraph" w:styleId="232">
    <w:name w:val="toc 7"/>
    <w:basedOn w:val="183"/>
    <w:next w:val="183"/>
    <w:uiPriority w:val="39"/>
    <w:unhideWhenUsed/>
    <w:pPr>
      <w:ind w:left="1701"/>
      <w:spacing w:after="57"/>
    </w:pPr>
  </w:style>
  <w:style w:type="paragraph" w:styleId="233">
    <w:name w:val="toc 8"/>
    <w:basedOn w:val="183"/>
    <w:next w:val="183"/>
    <w:uiPriority w:val="39"/>
    <w:unhideWhenUsed/>
    <w:pPr>
      <w:ind w:left="1984"/>
      <w:spacing w:after="57"/>
    </w:pPr>
  </w:style>
  <w:style w:type="paragraph" w:styleId="234">
    <w:name w:val="toc 9"/>
    <w:basedOn w:val="183"/>
    <w:next w:val="183"/>
    <w:uiPriority w:val="39"/>
    <w:unhideWhenUsed/>
    <w:pPr>
      <w:ind w:left="2268"/>
      <w:spacing w:after="57"/>
    </w:pPr>
  </w:style>
  <w:style w:type="paragraph" w:styleId="235" w:customStyle="1">
    <w:name w:val="Heading 1"/>
    <w:basedOn w:val="183"/>
    <w:next w:val="183"/>
    <w:link w:val="24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236" w:customStyle="1">
    <w:name w:val="Heading 2"/>
    <w:basedOn w:val="183"/>
    <w:next w:val="183"/>
    <w:link w:val="24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237" w:customStyle="1">
    <w:name w:val="Heading 3"/>
    <w:basedOn w:val="183"/>
    <w:next w:val="183"/>
    <w:link w:val="24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238" w:customStyle="1">
    <w:name w:val="Heading 4"/>
    <w:basedOn w:val="183"/>
    <w:next w:val="183"/>
    <w:link w:val="24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239" w:customStyle="1">
    <w:name w:val="Heading 5"/>
    <w:basedOn w:val="183"/>
    <w:next w:val="183"/>
    <w:link w:val="25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240" w:customStyle="1">
    <w:name w:val="Heading 6"/>
    <w:basedOn w:val="183"/>
    <w:next w:val="183"/>
    <w:link w:val="251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241" w:customStyle="1">
    <w:name w:val="Heading 7"/>
    <w:basedOn w:val="183"/>
    <w:next w:val="183"/>
    <w:link w:val="252"/>
    <w:qFormat/>
    <w:uiPriority w:val="9"/>
    <w:semiHidden/>
    <w:unhideWhenUsed/>
    <w:pPr>
      <w:spacing w:after="60" w:before="240"/>
      <w:outlineLvl w:val="6"/>
    </w:pPr>
  </w:style>
  <w:style w:type="paragraph" w:styleId="242" w:customStyle="1">
    <w:name w:val="Heading 8"/>
    <w:basedOn w:val="183"/>
    <w:next w:val="183"/>
    <w:link w:val="25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243" w:customStyle="1">
    <w:name w:val="Heading 9"/>
    <w:basedOn w:val="183"/>
    <w:next w:val="183"/>
    <w:link w:val="254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244">
    <w:name w:val="List Paragraph"/>
    <w:basedOn w:val="183"/>
    <w:qFormat/>
    <w:uiPriority w:val="34"/>
    <w:pPr>
      <w:contextualSpacing w:val="true"/>
      <w:ind w:left="720"/>
    </w:pPr>
  </w:style>
  <w:style w:type="table" w:styleId="245">
    <w:name w:val="Table Grid"/>
    <w:basedOn w:val="1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46" w:customStyle="1">
    <w:name w:val="Заголовок 1 Знак"/>
    <w:basedOn w:val="184"/>
    <w:link w:val="235"/>
    <w:uiPriority w:val="9"/>
    <w:rPr>
      <w:rFonts w:ascii="Cambria" w:hAnsi="Cambria" w:eastAsia="Cambria"/>
      <w:b/>
      <w:bCs/>
      <w:sz w:val="32"/>
      <w:szCs w:val="32"/>
    </w:rPr>
  </w:style>
  <w:style w:type="character" w:styleId="247" w:customStyle="1">
    <w:name w:val="Заголовок 2 Знак"/>
    <w:basedOn w:val="184"/>
    <w:link w:val="23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248" w:customStyle="1">
    <w:name w:val="Заголовок 3 Знак"/>
    <w:basedOn w:val="184"/>
    <w:link w:val="237"/>
    <w:uiPriority w:val="9"/>
    <w:rPr>
      <w:rFonts w:ascii="Cambria" w:hAnsi="Cambria" w:eastAsia="Cambria"/>
      <w:b/>
      <w:bCs/>
      <w:sz w:val="26"/>
      <w:szCs w:val="26"/>
    </w:rPr>
  </w:style>
  <w:style w:type="character" w:styleId="249" w:customStyle="1">
    <w:name w:val="Заголовок 4 Знак"/>
    <w:basedOn w:val="184"/>
    <w:link w:val="238"/>
    <w:uiPriority w:val="9"/>
    <w:rPr>
      <w:b/>
      <w:bCs/>
      <w:sz w:val="28"/>
      <w:szCs w:val="28"/>
    </w:rPr>
  </w:style>
  <w:style w:type="character" w:styleId="250" w:customStyle="1">
    <w:name w:val="Заголовок 5 Знак"/>
    <w:basedOn w:val="184"/>
    <w:link w:val="239"/>
    <w:uiPriority w:val="9"/>
    <w:semiHidden/>
    <w:rPr>
      <w:b/>
      <w:bCs/>
      <w:i/>
      <w:iCs/>
      <w:sz w:val="26"/>
      <w:szCs w:val="26"/>
    </w:rPr>
  </w:style>
  <w:style w:type="character" w:styleId="251" w:customStyle="1">
    <w:name w:val="Заголовок 6 Знак"/>
    <w:basedOn w:val="184"/>
    <w:link w:val="240"/>
    <w:uiPriority w:val="9"/>
    <w:semiHidden/>
    <w:rPr>
      <w:b/>
      <w:bCs/>
    </w:rPr>
  </w:style>
  <w:style w:type="character" w:styleId="252" w:customStyle="1">
    <w:name w:val="Заголовок 7 Знак"/>
    <w:basedOn w:val="184"/>
    <w:link w:val="241"/>
    <w:uiPriority w:val="9"/>
    <w:semiHidden/>
    <w:rPr>
      <w:sz w:val="24"/>
      <w:szCs w:val="24"/>
    </w:rPr>
  </w:style>
  <w:style w:type="character" w:styleId="253" w:customStyle="1">
    <w:name w:val="Заголовок 8 Знак"/>
    <w:basedOn w:val="184"/>
    <w:link w:val="242"/>
    <w:uiPriority w:val="9"/>
    <w:semiHidden/>
    <w:rPr>
      <w:i/>
      <w:iCs/>
      <w:sz w:val="24"/>
      <w:szCs w:val="24"/>
    </w:rPr>
  </w:style>
  <w:style w:type="character" w:styleId="254" w:customStyle="1">
    <w:name w:val="Заголовок 9 Знак"/>
    <w:basedOn w:val="184"/>
    <w:link w:val="243"/>
    <w:uiPriority w:val="9"/>
    <w:semiHidden/>
    <w:rPr>
      <w:rFonts w:ascii="Cambria" w:hAnsi="Cambria" w:eastAsia="Cambria"/>
    </w:rPr>
  </w:style>
  <w:style w:type="paragraph" w:styleId="255">
    <w:name w:val="Title"/>
    <w:basedOn w:val="183"/>
    <w:next w:val="183"/>
    <w:link w:val="25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256" w:customStyle="1">
    <w:name w:val="Название Знак"/>
    <w:basedOn w:val="184"/>
    <w:link w:val="255"/>
    <w:uiPriority w:val="10"/>
    <w:rPr>
      <w:rFonts w:ascii="Cambria" w:hAnsi="Cambria" w:eastAsia="Cambria"/>
      <w:b/>
      <w:bCs/>
      <w:sz w:val="32"/>
      <w:szCs w:val="32"/>
    </w:rPr>
  </w:style>
  <w:style w:type="paragraph" w:styleId="257">
    <w:name w:val="Subtitle"/>
    <w:basedOn w:val="183"/>
    <w:next w:val="183"/>
    <w:link w:val="25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258" w:customStyle="1">
    <w:name w:val="Подзаголовок Знак"/>
    <w:basedOn w:val="184"/>
    <w:link w:val="257"/>
    <w:uiPriority w:val="11"/>
    <w:rPr>
      <w:rFonts w:ascii="Cambria" w:hAnsi="Cambria" w:eastAsia="Cambria"/>
      <w:sz w:val="24"/>
      <w:szCs w:val="24"/>
    </w:rPr>
  </w:style>
  <w:style w:type="character" w:styleId="259">
    <w:name w:val="Strong"/>
    <w:basedOn w:val="184"/>
    <w:qFormat/>
    <w:uiPriority w:val="22"/>
    <w:rPr>
      <w:b/>
      <w:bCs/>
    </w:rPr>
  </w:style>
  <w:style w:type="character" w:styleId="260">
    <w:name w:val="Emphasis"/>
    <w:basedOn w:val="184"/>
    <w:qFormat/>
    <w:uiPriority w:val="20"/>
    <w:rPr>
      <w:rFonts w:ascii="Calibri" w:hAnsi="Calibri"/>
      <w:b/>
      <w:i/>
      <w:iCs/>
    </w:rPr>
  </w:style>
  <w:style w:type="paragraph" w:styleId="261">
    <w:name w:val="No Spacing"/>
    <w:basedOn w:val="183"/>
    <w:qFormat/>
    <w:uiPriority w:val="1"/>
    <w:rPr>
      <w:szCs w:val="32"/>
    </w:rPr>
  </w:style>
  <w:style w:type="paragraph" w:styleId="262">
    <w:name w:val="Quote"/>
    <w:basedOn w:val="183"/>
    <w:next w:val="183"/>
    <w:link w:val="263"/>
    <w:qFormat/>
    <w:uiPriority w:val="29"/>
    <w:rPr>
      <w:i/>
    </w:rPr>
  </w:style>
  <w:style w:type="character" w:styleId="263" w:customStyle="1">
    <w:name w:val="Цитата 2 Знак"/>
    <w:basedOn w:val="184"/>
    <w:link w:val="262"/>
    <w:uiPriority w:val="29"/>
    <w:rPr>
      <w:i/>
      <w:sz w:val="24"/>
      <w:szCs w:val="24"/>
    </w:rPr>
  </w:style>
  <w:style w:type="paragraph" w:styleId="264">
    <w:name w:val="Intense Quote"/>
    <w:basedOn w:val="183"/>
    <w:next w:val="183"/>
    <w:link w:val="265"/>
    <w:qFormat/>
    <w:uiPriority w:val="30"/>
    <w:rPr>
      <w:b/>
      <w:i/>
      <w:szCs w:val="22"/>
    </w:rPr>
    <w:pPr>
      <w:ind w:left="720" w:right="720"/>
    </w:pPr>
  </w:style>
  <w:style w:type="character" w:styleId="265" w:customStyle="1">
    <w:name w:val="Выделенная цитата Знак"/>
    <w:basedOn w:val="184"/>
    <w:link w:val="264"/>
    <w:uiPriority w:val="30"/>
    <w:rPr>
      <w:b/>
      <w:i/>
      <w:sz w:val="24"/>
    </w:rPr>
  </w:style>
  <w:style w:type="character" w:styleId="266">
    <w:name w:val="Subtle Emphasis"/>
    <w:qFormat/>
    <w:uiPriority w:val="19"/>
    <w:rPr>
      <w:i/>
      <w:color w:val="5A5A5A" w:themeColor="text1" w:themeTint="A5"/>
    </w:rPr>
  </w:style>
  <w:style w:type="character" w:styleId="267">
    <w:name w:val="Intense Emphasis"/>
    <w:basedOn w:val="184"/>
    <w:qFormat/>
    <w:uiPriority w:val="21"/>
    <w:rPr>
      <w:b/>
      <w:i/>
      <w:sz w:val="24"/>
      <w:szCs w:val="24"/>
      <w:u w:val="single"/>
    </w:rPr>
  </w:style>
  <w:style w:type="character" w:styleId="268">
    <w:name w:val="Subtle Reference"/>
    <w:basedOn w:val="184"/>
    <w:qFormat/>
    <w:uiPriority w:val="31"/>
    <w:rPr>
      <w:sz w:val="24"/>
      <w:szCs w:val="24"/>
      <w:u w:val="single"/>
    </w:rPr>
  </w:style>
  <w:style w:type="character" w:styleId="269">
    <w:name w:val="Intense Reference"/>
    <w:basedOn w:val="184"/>
    <w:qFormat/>
    <w:uiPriority w:val="32"/>
    <w:rPr>
      <w:b/>
      <w:sz w:val="24"/>
      <w:u w:val="single"/>
    </w:rPr>
  </w:style>
  <w:style w:type="character" w:styleId="270">
    <w:name w:val="Book Title"/>
    <w:basedOn w:val="18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271">
    <w:name w:val="TOC Heading"/>
    <w:basedOn w:val="235"/>
    <w:next w:val="183"/>
    <w:qFormat/>
    <w:uiPriority w:val="39"/>
    <w:semiHidden/>
    <w:unhideWhenUsed/>
    <w:pPr>
      <w:outlineLvl w:val="9"/>
    </w:pPr>
  </w:style>
  <w:style w:type="paragraph" w:styleId="272" w:customStyle="1">
    <w:name w:val="rvps2"/>
    <w:basedOn w:val="183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273" w:customStyle="1">
    <w:name w:val="Header"/>
    <w:basedOn w:val="183"/>
    <w:link w:val="27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274" w:customStyle="1">
    <w:name w:val="Верхний колонтитул Знак"/>
    <w:basedOn w:val="184"/>
    <w:link w:val="273"/>
    <w:uiPriority w:val="99"/>
    <w:semiHidden/>
    <w:rPr>
      <w:sz w:val="24"/>
      <w:szCs w:val="24"/>
    </w:rPr>
  </w:style>
  <w:style w:type="paragraph" w:styleId="275" w:customStyle="1">
    <w:name w:val="Footer"/>
    <w:basedOn w:val="183"/>
    <w:link w:val="27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76" w:customStyle="1">
    <w:name w:val="Нижний колонтитул Знак"/>
    <w:basedOn w:val="184"/>
    <w:link w:val="275"/>
    <w:uiPriority w:val="99"/>
    <w:rPr>
      <w:sz w:val="24"/>
      <w:szCs w:val="24"/>
    </w:rPr>
  </w:style>
  <w:style w:type="paragraph" w:styleId="277">
    <w:name w:val="Balloon Text"/>
    <w:basedOn w:val="183"/>
    <w:link w:val="278"/>
    <w:uiPriority w:val="99"/>
    <w:semiHidden/>
    <w:unhideWhenUsed/>
    <w:rPr>
      <w:rFonts w:ascii="Tahoma" w:hAnsi="Tahoma" w:cs="Tahoma"/>
      <w:sz w:val="16"/>
      <w:szCs w:val="16"/>
    </w:rPr>
  </w:style>
  <w:style w:type="character" w:styleId="278" w:customStyle="1">
    <w:name w:val="Текст выноски Знак"/>
    <w:basedOn w:val="184"/>
    <w:link w:val="277"/>
    <w:uiPriority w:val="99"/>
    <w:semiHidden/>
    <w:rPr>
      <w:rFonts w:ascii="Tahoma" w:hAnsi="Tahoma" w:cs="Tahoma"/>
      <w:sz w:val="16"/>
      <w:szCs w:val="16"/>
    </w:rPr>
  </w:style>
  <w:style w:type="character" w:styleId="279">
    <w:name w:val="Hyperlink"/>
    <w:basedOn w:val="18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wmf"/><Relationship Id="rId10" Type="http://schemas.openxmlformats.org/officeDocument/2006/relationships/hyperlink" Target="https://uk.wikipedia.org/wiki/%D0%86%D0%B4%D0%B5%D0%BD%D1%82%D0%B8%D1%84%D1%96%D0%BA%D0%B0%D1%86%D1%96%D0%B9%D0%BD%D0%B8%D0%B9_%D0%BD%D0%BE%D0%BC%D0%B5%D1%80_%D1%84%D1%96%D0%B7%D0%B8%D1%87%D0%BD%D0%BE%D1%97_%D0%BE%D1%81%D0%BE%D0%B1%D0%B8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