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3"/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34758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347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7.9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bidi="hi-IN" w:eastAsia="hi-IN"/>
        </w:rPr>
      </w:r>
      <w:r/>
    </w:p>
    <w:p>
      <w:pPr>
        <w:pStyle w:val="163"/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/>
          <w:b/>
          <w:sz w:val="28"/>
          <w:szCs w:val="28"/>
          <w:lang w:bidi="hi-IN" w:eastAsia="hi-IN"/>
        </w:rPr>
      </w:r>
      <w:r/>
    </w:p>
    <w:p>
      <w:pPr>
        <w:pStyle w:val="163"/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val="en-US" w:bidi="hi-IN" w:eastAsia="hi-IN"/>
        </w:rPr>
      </w:pPr>
      <w:r>
        <w:rPr>
          <w:rFonts w:ascii="Times New Roman" w:hAnsi="Times New Roman"/>
          <w:b/>
          <w:sz w:val="28"/>
          <w:szCs w:val="28"/>
          <w:lang w:val="en-US" w:bidi="hi-IN" w:eastAsia="hi-IN"/>
        </w:rPr>
        <w:t xml:space="preserve">МЕНСЬКА МІСЬКА РАДА</w:t>
      </w:r>
      <w:r/>
    </w:p>
    <w:p>
      <w:pPr>
        <w:pStyle w:val="163"/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pStyle w:val="163"/>
        <w:jc w:val="center"/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тридцять</w:t>
      </w:r>
      <w:r>
        <w:rPr>
          <w:rFonts w:ascii="Times New Roman" w:hAnsi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bidi="hi-IN" w:eastAsia="hi-IN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’</w:t>
      </w:r>
      <w:r>
        <w:rPr>
          <w:rFonts w:ascii="Times New Roman" w:hAnsi="Times New Roman"/>
          <w:b/>
          <w:sz w:val="28"/>
          <w:szCs w:val="28"/>
          <w:lang w:val="ru-RU" w:bidi="hi-IN" w:eastAsia="hi-IN"/>
        </w:rPr>
        <w:t xml:space="preserve">ята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сесія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сьомого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скликання)</w:t>
      </w:r>
      <w:r>
        <w:rPr>
          <w:rFonts w:ascii="Times New Roman" w:hAnsi="Times New Roman"/>
          <w:b/>
          <w:sz w:val="28"/>
          <w:szCs w:val="28"/>
          <w:lang w:bidi="hi-IN" w:eastAsia="hi-IN"/>
        </w:rPr>
      </w:r>
      <w:r/>
    </w:p>
    <w:p>
      <w:pPr>
        <w:pStyle w:val="163"/>
        <w:jc w:val="center"/>
        <w:tabs>
          <w:tab w:val="left" w:pos="433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/>
    </w:p>
    <w:p>
      <w:pPr>
        <w:pStyle w:val="163"/>
        <w:tabs>
          <w:tab w:val="left" w:pos="453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року</w:t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620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163"/>
        <w:ind w:left="0" w:right="5386" w:hanging="0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 дозволу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виготовлення технічної документації на </w:t>
      </w:r>
      <w:r>
        <w:rPr>
          <w:rFonts w:ascii="Times New Roman" w:hAnsi="Times New Roman"/>
          <w:b/>
          <w:sz w:val="28"/>
          <w:szCs w:val="28"/>
        </w:rPr>
        <w:t xml:space="preserve">з</w:t>
      </w:r>
      <w:r>
        <w:rPr>
          <w:rFonts w:ascii="Times New Roman" w:hAnsi="Times New Roman"/>
          <w:b/>
          <w:sz w:val="28"/>
          <w:szCs w:val="28"/>
        </w:rPr>
        <w:t xml:space="preserve">емельні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ділянки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63"/>
        <w:ind w:left="0"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63"/>
        <w:ind w:left="0" w:firstLine="708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заступника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ТОВ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афніс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Пасі</w:t>
      </w:r>
      <w:r>
        <w:rPr>
          <w:rFonts w:ascii="Times New Roman" w:hAnsi="Times New Roman"/>
          <w:sz w:val="28"/>
          <w:szCs w:val="28"/>
        </w:rPr>
        <w:t xml:space="preserve">чник К.В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щодо</w:t>
      </w:r>
      <w:r>
        <w:rPr>
          <w:rFonts w:ascii="Times New Roman" w:hAnsi="Times New Roman"/>
          <w:sz w:val="28"/>
          <w:szCs w:val="28"/>
        </w:rPr>
        <w:t xml:space="preserve"> надання дозволу на виготовлення технічної документації щодо встановлення меж земельних ділянок</w:t>
      </w:r>
      <w:r>
        <w:rPr>
          <w:rFonts w:ascii="Times New Roman" w:hAnsi="Times New Roman"/>
          <w:sz w:val="28"/>
          <w:szCs w:val="28"/>
        </w:rPr>
        <w:t xml:space="preserve"> під польовими шляхами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,00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га., за межами с.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тольне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передачі в</w:t>
      </w:r>
      <w:r>
        <w:rPr>
          <w:rFonts w:ascii="Times New Roman" w:hAnsi="Times New Roman"/>
          <w:sz w:val="28"/>
          <w:szCs w:val="28"/>
        </w:rPr>
        <w:t xml:space="preserve"> орендн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користуванн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місцеве самоврядування в Україні» ст..26, Земельним кодексом України ст..ст.12, </w:t>
      </w:r>
      <w:r>
        <w:rPr>
          <w:rFonts w:ascii="Times New Roman" w:hAnsi="Times New Roman"/>
          <w:sz w:val="28"/>
          <w:szCs w:val="28"/>
        </w:rPr>
        <w:t xml:space="preserve">127</w:t>
      </w:r>
      <w:r>
        <w:rPr>
          <w:rFonts w:ascii="Times New Roman" w:hAnsi="Times New Roman"/>
          <w:sz w:val="28"/>
          <w:szCs w:val="28"/>
        </w:rPr>
        <w:t xml:space="preserve">, 134, </w:t>
      </w:r>
      <w:r>
        <w:rPr>
          <w:rFonts w:ascii="Times New Roman" w:hAnsi="Times New Roman"/>
          <w:sz w:val="28"/>
          <w:szCs w:val="28"/>
        </w:rPr>
        <w:t xml:space="preserve">136, 137, Менська міська рада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63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63"/>
        <w:ind w:left="0" w:firstLine="708"/>
        <w:jc w:val="both"/>
        <w:spacing w:lineRule="auto" w:lin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Надати дозвіл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 «</w:t>
      </w:r>
      <w:r>
        <w:rPr>
          <w:rFonts w:ascii="Times New Roman" w:hAnsi="Times New Roman"/>
          <w:sz w:val="28"/>
          <w:szCs w:val="28"/>
        </w:rPr>
        <w:t xml:space="preserve">Дафніс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виготовлення </w:t>
      </w:r>
      <w:r>
        <w:rPr>
          <w:rFonts w:ascii="Times New Roman" w:hAnsi="Times New Roman"/>
          <w:sz w:val="28"/>
          <w:szCs w:val="28"/>
        </w:rPr>
        <w:t xml:space="preserve">технічної документації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щодо встановлення меж земельних ділянок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 польовими шляхами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,00 </w:t>
      </w:r>
      <w:r>
        <w:rPr>
          <w:rFonts w:ascii="Times New Roman" w:hAnsi="Times New Roman"/>
          <w:sz w:val="28"/>
          <w:szCs w:val="28"/>
        </w:rPr>
        <w:t xml:space="preserve">га., за межами с.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тольне</w:t>
      </w:r>
      <w:r>
        <w:rPr>
          <w:rFonts w:ascii="Times New Roman" w:hAnsi="Times New Roman"/>
          <w:sz w:val="28"/>
          <w:szCs w:val="28"/>
        </w:rPr>
        <w:t xml:space="preserve"> для передачі в орендна користування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163"/>
        <w:spacing w:lineRule="auto" w:lin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163"/>
        <w:tabs>
          <w:tab w:val="left" w:pos="6946" w:leader="none"/>
          <w:tab w:val="left" w:pos="7371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sz w:val="20"/>
          <w:szCs w:val="20"/>
          <w:lang w:eastAsia="ru-RU"/>
        </w:rPr>
      </w:r>
      <w:r/>
    </w:p>
    <w:sectPr>
      <w:footnotePr/>
      <w:type w:val="nextPage"/>
      <w:pgSz w:w="11906" w:h="16838"/>
      <w:pgMar w:top="454" w:right="851" w:bottom="397" w:left="1417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63"/>
        <w:ind w:left="1065" w:hanging="359"/>
      </w:pPr>
    </w:lvl>
    <w:lvl w:ilvl="1">
      <w:start w:val="1"/>
      <w:numFmt w:val="lowerLetter"/>
      <w:suff w:val="tab"/>
      <w:lvlText w:val="%2."/>
      <w:lvlJc w:val="left"/>
      <w:pPr>
        <w:pStyle w:val="163"/>
        <w:ind w:left="1785" w:hanging="359"/>
      </w:pPr>
    </w:lvl>
    <w:lvl w:ilvl="2">
      <w:start w:val="1"/>
      <w:numFmt w:val="lowerRoman"/>
      <w:suff w:val="tab"/>
      <w:lvlText w:val="%3."/>
      <w:lvlJc w:val="right"/>
      <w:pPr>
        <w:pStyle w:val="163"/>
        <w:ind w:left="2505" w:hanging="179"/>
      </w:pPr>
    </w:lvl>
    <w:lvl w:ilvl="3">
      <w:start w:val="1"/>
      <w:numFmt w:val="decimal"/>
      <w:suff w:val="tab"/>
      <w:lvlText w:val="%4."/>
      <w:lvlJc w:val="left"/>
      <w:pPr>
        <w:pStyle w:val="163"/>
        <w:ind w:left="3225" w:hanging="359"/>
      </w:pPr>
    </w:lvl>
    <w:lvl w:ilvl="4">
      <w:start w:val="1"/>
      <w:numFmt w:val="lowerLetter"/>
      <w:suff w:val="tab"/>
      <w:lvlText w:val="%5."/>
      <w:lvlJc w:val="left"/>
      <w:pPr>
        <w:pStyle w:val="163"/>
        <w:ind w:left="3945" w:hanging="359"/>
      </w:pPr>
    </w:lvl>
    <w:lvl w:ilvl="5">
      <w:start w:val="1"/>
      <w:numFmt w:val="lowerRoman"/>
      <w:suff w:val="tab"/>
      <w:lvlText w:val="%6."/>
      <w:lvlJc w:val="right"/>
      <w:pPr>
        <w:pStyle w:val="163"/>
        <w:ind w:left="4665" w:hanging="179"/>
      </w:pPr>
    </w:lvl>
    <w:lvl w:ilvl="6">
      <w:start w:val="1"/>
      <w:numFmt w:val="decimal"/>
      <w:suff w:val="tab"/>
      <w:lvlText w:val="%7."/>
      <w:lvlJc w:val="left"/>
      <w:pPr>
        <w:pStyle w:val="163"/>
        <w:ind w:left="5385" w:hanging="359"/>
      </w:pPr>
    </w:lvl>
    <w:lvl w:ilvl="7">
      <w:start w:val="1"/>
      <w:numFmt w:val="lowerLetter"/>
      <w:suff w:val="tab"/>
      <w:lvlText w:val="%8."/>
      <w:lvlJc w:val="left"/>
      <w:pPr>
        <w:pStyle w:val="163"/>
        <w:ind w:left="6105" w:hanging="359"/>
      </w:pPr>
    </w:lvl>
    <w:lvl w:ilvl="8">
      <w:start w:val="1"/>
      <w:numFmt w:val="lowerRoman"/>
      <w:suff w:val="tab"/>
      <w:lvlText w:val="%9."/>
      <w:lvlJc w:val="right"/>
      <w:pPr>
        <w:pStyle w:val="163"/>
        <w:ind w:left="6825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163"/>
        <w:ind w:left="502" w:hanging="359"/>
      </w:pPr>
    </w:lvl>
    <w:lvl w:ilvl="1">
      <w:start w:val="1"/>
      <w:numFmt w:val="lowerLetter"/>
      <w:suff w:val="tab"/>
      <w:lvlText w:val="%2."/>
      <w:lvlJc w:val="left"/>
      <w:pPr>
        <w:pStyle w:val="163"/>
        <w:ind w:left="1222" w:hanging="359"/>
      </w:pPr>
    </w:lvl>
    <w:lvl w:ilvl="2">
      <w:start w:val="1"/>
      <w:numFmt w:val="lowerRoman"/>
      <w:suff w:val="tab"/>
      <w:lvlText w:val="%3."/>
      <w:lvlJc w:val="right"/>
      <w:pPr>
        <w:pStyle w:val="163"/>
        <w:ind w:left="1942" w:hanging="179"/>
      </w:pPr>
    </w:lvl>
    <w:lvl w:ilvl="3">
      <w:start w:val="1"/>
      <w:numFmt w:val="decimal"/>
      <w:suff w:val="tab"/>
      <w:lvlText w:val="%4."/>
      <w:lvlJc w:val="left"/>
      <w:pPr>
        <w:pStyle w:val="163"/>
        <w:ind w:left="2662" w:hanging="359"/>
      </w:pPr>
    </w:lvl>
    <w:lvl w:ilvl="4">
      <w:start w:val="1"/>
      <w:numFmt w:val="lowerLetter"/>
      <w:suff w:val="tab"/>
      <w:lvlText w:val="%5."/>
      <w:lvlJc w:val="left"/>
      <w:pPr>
        <w:pStyle w:val="163"/>
        <w:ind w:left="3382" w:hanging="359"/>
      </w:pPr>
    </w:lvl>
    <w:lvl w:ilvl="5">
      <w:start w:val="1"/>
      <w:numFmt w:val="lowerRoman"/>
      <w:suff w:val="tab"/>
      <w:lvlText w:val="%6."/>
      <w:lvlJc w:val="right"/>
      <w:pPr>
        <w:pStyle w:val="163"/>
        <w:ind w:left="4102" w:hanging="179"/>
      </w:pPr>
    </w:lvl>
    <w:lvl w:ilvl="6">
      <w:start w:val="1"/>
      <w:numFmt w:val="decimal"/>
      <w:suff w:val="tab"/>
      <w:lvlText w:val="%7."/>
      <w:lvlJc w:val="left"/>
      <w:pPr>
        <w:pStyle w:val="163"/>
        <w:ind w:left="4822" w:hanging="359"/>
      </w:pPr>
    </w:lvl>
    <w:lvl w:ilvl="7">
      <w:start w:val="1"/>
      <w:numFmt w:val="lowerLetter"/>
      <w:suff w:val="tab"/>
      <w:lvlText w:val="%8."/>
      <w:lvlJc w:val="left"/>
      <w:pPr>
        <w:pStyle w:val="163"/>
        <w:ind w:left="5542" w:hanging="359"/>
      </w:pPr>
    </w:lvl>
    <w:lvl w:ilvl="8">
      <w:start w:val="1"/>
      <w:numFmt w:val="lowerRoman"/>
      <w:suff w:val="tab"/>
      <w:lvlText w:val="%9."/>
      <w:lvlJc w:val="right"/>
      <w:pPr>
        <w:pStyle w:val="163"/>
        <w:ind w:left="6262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3">
    <w:name w:val="Обычный"/>
    <w:next w:val="163"/>
    <w:link w:val="163"/>
    <w:rPr>
      <w:sz w:val="22"/>
      <w:szCs w:val="22"/>
      <w:lang w:val="uk-UA" w:bidi="ar-SA" w:eastAsia="en-US"/>
    </w:rPr>
    <w:pPr>
      <w:spacing w:lineRule="auto" w:line="276" w:after="200"/>
    </w:pPr>
  </w:style>
  <w:style w:type="character" w:styleId="164">
    <w:name w:val="Основной шрифт абзаца"/>
    <w:next w:val="164"/>
    <w:link w:val="163"/>
  </w:style>
  <w:style w:type="table" w:styleId="165">
    <w:name w:val="Обычная таблица"/>
    <w:next w:val="165"/>
    <w:link w:val="163"/>
    <w:semiHidden/>
    <w:tblPr/>
  </w:style>
  <w:style w:type="numbering" w:styleId="166">
    <w:name w:val="Нет списка"/>
    <w:next w:val="166"/>
    <w:link w:val="163"/>
    <w:semiHidden/>
  </w:style>
  <w:style w:type="character" w:styleId="167">
    <w:name w:val="rvts0"/>
    <w:next w:val="167"/>
    <w:link w:val="163"/>
  </w:style>
  <w:style w:type="character" w:styleId="359" w:default="1">
    <w:name w:val="Default Paragraph Font"/>
    <w:uiPriority w:val="1"/>
    <w:semiHidden/>
    <w:unhideWhenUsed/>
  </w:style>
  <w:style w:type="numbering" w:styleId="360" w:default="1">
    <w:name w:val="No List"/>
    <w:uiPriority w:val="99"/>
    <w:semiHidden/>
    <w:unhideWhenUsed/>
  </w:style>
  <w:style w:type="paragraph" w:styleId="361" w:default="1">
    <w:name w:val="Normal"/>
    <w:qFormat/>
  </w:style>
  <w:style w:type="table" w:styleId="3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