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9" cy="74675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jc w:val="center"/>
        <w:keepNext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Менського району Чернігівської області</w:t>
      </w:r>
      <w:r/>
    </w:p>
    <w:p>
      <w:pPr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(тридцять п’ята</w:t>
      </w:r>
      <w:r>
        <w:rPr>
          <w:b/>
          <w:sz w:val="28"/>
          <w:szCs w:val="28"/>
        </w:rPr>
        <w:t xml:space="preserve"> сесія сьомого скликання )</w:t>
      </w:r>
      <w:r/>
    </w:p>
    <w:p>
      <w:pPr>
        <w:jc w:val="center"/>
        <w:spacing w:after="120"/>
        <w:widowControl w:val="off"/>
        <w:rPr>
          <w:rFonts w:cs="Mangal"/>
          <w:b/>
          <w:sz w:val="24"/>
          <w:szCs w:val="28"/>
          <w:lang w:bidi="hi-IN" w:eastAsia="hi-IN"/>
        </w:rPr>
      </w:pPr>
      <w:r>
        <w:rPr>
          <w:rFonts w:cs="Mangal"/>
          <w:b/>
          <w:sz w:val="24"/>
          <w:szCs w:val="28"/>
          <w:lang w:bidi="hi-IN" w:eastAsia="hi-IN"/>
        </w:rPr>
        <w:t xml:space="preserve"> РІШЕННЯ</w:t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center" w:pos="4762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листопада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612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>
        <w:trPr>
          <w:cantSplit/>
          <w:trHeight w:val="31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</w:t>
            </w:r>
            <w:r>
              <w:rPr>
                <w:b/>
                <w:sz w:val="28"/>
              </w:rPr>
              <w:t xml:space="preserve">щодо інвентаризації земель під об’єктами цілісного майнового комплексу споруд комунального водопостачання та водовідведення м. Мена</w:t>
            </w:r>
            <w:r>
              <w:rPr>
                <w:b/>
                <w:sz w:val="28"/>
              </w:rPr>
              <w:t xml:space="preserve"> Менській міській раді</w:t>
            </w:r>
            <w:r/>
          </w:p>
        </w:tc>
      </w:tr>
      <w:tr>
        <w:trPr>
          <w:cantSplit/>
          <w:trHeight w:val="1886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0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ind w:left="5812"/>
      </w:pPr>
      <w:r/>
      <w:r/>
    </w:p>
    <w:p>
      <w:r>
        <w:tab/>
      </w:r>
      <w:r/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Відповідно  до  пункту 34 частини 1 статті 26 Закону  України „Про місцеве самовря</w:t>
      </w:r>
      <w:r>
        <w:rPr>
          <w:sz w:val="28"/>
          <w:szCs w:val="28"/>
        </w:rPr>
        <w:t xml:space="preserve">дування в Україні”, </w:t>
      </w:r>
      <w:r>
        <w:rPr>
          <w:sz w:val="28"/>
          <w:szCs w:val="28"/>
        </w:rPr>
        <w:t xml:space="preserve">ст. 12,</w:t>
      </w:r>
      <w:r>
        <w:rPr>
          <w:sz w:val="28"/>
          <w:szCs w:val="28"/>
        </w:rPr>
        <w:t xml:space="preserve">123,125,126</w:t>
      </w:r>
      <w:r>
        <w:rPr>
          <w:sz w:val="28"/>
          <w:szCs w:val="28"/>
        </w:rPr>
        <w:t xml:space="preserve"> Земельного  Кодексу України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виконання рішення Менської міської ради від 02.10.2018 року 21 сесії 7 скликання №387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розглянувши подані документи </w:t>
      </w:r>
      <w:r>
        <w:rPr>
          <w:sz w:val="28"/>
          <w:szCs w:val="28"/>
        </w:rPr>
        <w:t xml:space="preserve">щодо затвердження</w:t>
      </w:r>
      <w:r>
        <w:rPr>
          <w:sz w:val="28"/>
          <w:szCs w:val="28"/>
        </w:rPr>
        <w:t xml:space="preserve"> технічну документацію щодо інвентаризації земель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 об’єктами цілісного майнового комплексу споруд комунального водопостачання та водовідведення м. Мена Менській міській раді</w:t>
      </w:r>
      <w:r>
        <w:rPr>
          <w:sz w:val="28"/>
          <w:szCs w:val="28"/>
        </w:rPr>
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згідно переліку, що додається,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/>
    </w:p>
    <w:p>
      <w:pPr>
        <w:pStyle w:val="170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щодо інвентаризації земель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під об’єктами цілісного майнового комплексу споруд комунального водопостачання та водовідведення м. Мена Менській міській раді</w:t>
      </w:r>
      <w:r>
        <w:rPr>
          <w:sz w:val="28"/>
          <w:szCs w:val="28"/>
        </w:rPr>
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</w:r>
      <w:r>
        <w:rPr>
          <w:sz w:val="28"/>
          <w:szCs w:val="28"/>
        </w:rPr>
        <w:t xml:space="preserve">згідно</w:t>
      </w:r>
      <w:r>
        <w:rPr>
          <w:sz w:val="28"/>
          <w:szCs w:val="28"/>
        </w:rPr>
        <w:t xml:space="preserve"> переліку, що додається.</w:t>
      </w:r>
      <w:r/>
    </w:p>
    <w:p>
      <w:pPr>
        <w:pStyle w:val="170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покласти на постійну комісі</w:t>
      </w:r>
      <w:r>
        <w:rPr>
          <w:sz w:val="28"/>
          <w:szCs w:val="28"/>
        </w:rPr>
        <w:t xml:space="preserve">ю з </w:t>
      </w:r>
      <w:r>
        <w:rPr>
          <w:sz w:val="28"/>
          <w:szCs w:val="28"/>
        </w:rPr>
        <w:t xml:space="preserve">питань містобудування, будівництва, земельних відносин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охорони природи</w:t>
      </w:r>
      <w:r>
        <w:rPr>
          <w:sz w:val="28"/>
          <w:szCs w:val="28"/>
        </w:rPr>
        <w:t xml:space="preserve">.</w:t>
      </w:r>
      <w:r/>
    </w:p>
    <w:p>
      <w:pPr>
        <w:pStyle w:val="170"/>
        <w:ind w:left="284"/>
        <w:jc w:val="both"/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tabs>
          <w:tab w:val="left" w:pos="6946" w:leader="none"/>
          <w:tab w:val="left" w:pos="737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Г.А. Примаков</w:t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</w:p>
    <w:p>
      <w:pPr>
        <w:shd w:val="nil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</w:r>
    </w:p>
    <w:p>
      <w:pPr>
        <w:ind w:left="5812"/>
        <w:jc w:val="both"/>
      </w:pPr>
      <w:r>
        <w:t xml:space="preserve">Додаток до рішення</w:t>
      </w:r>
      <w:r>
        <w:t xml:space="preserve"> </w:t>
      </w:r>
      <w:r>
        <w:t xml:space="preserve">35</w:t>
      </w:r>
      <w:r>
        <w:t xml:space="preserve"> сесії Менської міської ради 7 скликання від 26.11.2019 №612 «</w:t>
      </w:r>
      <w:r>
        <w:t xml:space="preserve">Про затвердження технічної  документації щодо інвентаризації земель під об’єктами цілісного майнового комплексу споруд комунального водопостачання та водовідведення </w:t>
      </w:r>
      <w:r>
        <w:t xml:space="preserve">м. Мена Менській міській раді</w:t>
      </w:r>
      <w:r>
        <w:t xml:space="preserve">»</w:t>
      </w:r>
      <w:r/>
    </w:p>
    <w:p>
      <w:pPr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</w:r>
      <w:r/>
    </w:p>
    <w:p>
      <w:pPr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</w:r>
      <w:r/>
    </w:p>
    <w:p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eastAsia="uk-UA"/>
        </w:rPr>
        <w:t xml:space="preserve">Перелік земельних ділянок під об’єктами цілісного майнового комплексу споруд комунального водопостачання та водовідведення м. Мена</w:t>
      </w:r>
      <w:r/>
    </w:p>
    <w:p>
      <w:r/>
      <w:r/>
    </w:p>
    <w:tbl>
      <w:tblPr>
        <w:tblW w:w="9356" w:type="dxa"/>
        <w:tblInd w:w="-14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1320"/>
        <w:gridCol w:w="2822"/>
        <w:gridCol w:w="4252"/>
      </w:tblGrid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№</w:t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площею, га.</w:t>
            </w:r>
            <w:r/>
          </w:p>
        </w:tc>
        <w:tc>
          <w:tcPr>
            <w:tcW w:w="2822" w:type="dxa"/>
            <w:textDirection w:val="lrTb"/>
            <w:noWrap w:val="false"/>
          </w:tcPr>
          <w:p>
            <w:pPr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Місце розташування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0,0437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7423010100:01:005:0825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</w:t>
            </w:r>
            <w:r>
              <w:rPr>
                <w:sz w:val="24"/>
                <w:szCs w:val="24"/>
                <w:lang w:eastAsia="uk-UA"/>
              </w:rPr>
              <w:t xml:space="preserve">Шелудька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0,0674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7423010100:01:002:1025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Шевченка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0,0503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7423010100:01:002:1026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Шевченка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0,0369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7423010100:01:002:1027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Черняхівського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0,0686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7423010100:01:004:0913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Українська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0,0400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7423010100:01:002:1028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Троїцька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0,0285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7423010100:01:002:1029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Тиха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0,0290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7423010100:01:002:1030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Тиха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0,0160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7423010100:01:002:1031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Титаренка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0,0337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7423010100:01:004:0914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Титаренка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0,0419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7423010100:01:004:0915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Титаренка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0,0475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7423010100:01:005:0826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0,0300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7423010100:01:003:1098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0,0256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7423010100:01:002:1032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0,0603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7423010100:01:002:1033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Суворова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0,0661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7423010100:01:002:1034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Суворова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0,0577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7423010100:01:004:0916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провулок Сонячний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0,0449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7423010100:01:004:0917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Сонячна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0,0373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7423010100:01:005:0827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провулок Гагаріна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0,0278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7423010100:01:003:1099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Паркова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0,0671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7423010100:01:002:1035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</w:t>
            </w:r>
            <w:r>
              <w:rPr>
                <w:sz w:val="24"/>
                <w:szCs w:val="24"/>
                <w:lang w:eastAsia="uk-UA"/>
              </w:rPr>
              <w:t xml:space="preserve">Остреченська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0,0733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7423010100:01:004:0918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Крилова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0,0314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7423010100:01:004:0919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Козацька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0,0248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7423010100:01:004:0920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Козацька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0,0229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7423010100:01:002:1036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провулок Зарічний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0,0549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7423010100:01:003:1100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Залізнична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0,0235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7423010100:01:005:0828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Жукова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0,0664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7423010100:01:002:1037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</w:t>
            </w:r>
            <w:r>
              <w:rPr>
                <w:sz w:val="24"/>
                <w:szCs w:val="24"/>
                <w:lang w:eastAsia="uk-UA"/>
              </w:rPr>
              <w:t xml:space="preserve">Гуринівська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0,0524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7423010100:01:002:1038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Горького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0,0173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7423010100:01:002:1039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Чернігівський шлях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0,0379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7423010100:01:003:1101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</w:t>
            </w:r>
            <w:r>
              <w:rPr>
                <w:sz w:val="24"/>
                <w:szCs w:val="24"/>
                <w:lang w:eastAsia="uk-UA"/>
              </w:rPr>
              <w:t xml:space="preserve">Л.Українки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0,0160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7423010100:01:002:1040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Дачна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0,0248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7423010100:01:005:0829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Гагаріна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0,0719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7423010100:01:005:0830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Гагаріна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0,0767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7423010100:01:004:0921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Ватутіна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0,0362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7423010100:01:003:1102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</w:t>
            </w:r>
            <w:r>
              <w:rPr>
                <w:sz w:val="24"/>
                <w:szCs w:val="24"/>
                <w:lang w:eastAsia="uk-UA"/>
              </w:rPr>
              <w:t xml:space="preserve">Б.Хмельницького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0,0111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7423010100:01:002:1041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Армійська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0,0262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7423010100:01:002:1042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1 Травня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0,0179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7423010100:01:002:1043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1 Травня (Зарічна)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0,0188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7423010100:01:003:1103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Виноградна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0,1135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7423010100:01:004:0922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1 провулок Ринкова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0,0592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7423010100:01:003:1104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провулок Вокзальний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0,1190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7423010100:01:004:0923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Яблунева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0,1151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7423010100:01:004:0924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Щаслива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0,0500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7423010100:01:005:0831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провулок Шкільний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0,0506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7423010100:01:005:0832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Шкільна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0,0438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7423010100:01:005:0833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Шкільна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0,1756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7423010100:01:003:1105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Шевченка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0,0913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7423010100:01:004:0925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Чехова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0,1062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7423010100:01:002:1044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Черняхівського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0,0438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7423010100:01:004:0926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Толстого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0,0458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7423010100:01:004:0927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Толстого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0,2009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7423010100:01:004:0928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Титаренка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0,0917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7423010100:01:004:0929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0,1346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7423010100:01:002:1045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вул. Спортивна, Свободи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0,0932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7423010100:01:004:0930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Сонячна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0,1007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7423010100:01:004:0931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Сонячна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0,2587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7423010100:01:003:1106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Сіверський шлях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0,1041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7423010100:01:004:0932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Сіверський шлях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0,1735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7423010100:01:005:0834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Сидоренка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0,1314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7423010100:01:004:0933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Робітнича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0,1460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7423010100:01:002:1046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Приозерна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0,0835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7423010100:01:003:1107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Привокзальна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0,3115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7423010100:01:005:0835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</w:t>
            </w:r>
            <w:r>
              <w:rPr>
                <w:sz w:val="24"/>
                <w:szCs w:val="24"/>
                <w:lang w:eastAsia="uk-UA"/>
              </w:rPr>
              <w:t xml:space="preserve">Піщанівська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0,0534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7423010100:01:005:0836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</w:t>
            </w:r>
            <w:r>
              <w:rPr>
                <w:sz w:val="24"/>
                <w:szCs w:val="24"/>
                <w:lang w:eastAsia="uk-UA"/>
              </w:rPr>
              <w:t xml:space="preserve">Піщанівська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0,0659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7423010100:01:004:0934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Перемоги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0,1349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7423010100:01:003:1108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Паркова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0,1154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7423010100:01:005:0837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Мічуріна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0,0528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7423010100:01:003:1109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Коцюбинського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0,0403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7423010100:01:002:1047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Тернова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0,0979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7423010100:01:003:1110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Бузкова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0,1119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7423010100:01:002:1048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1 Травня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0.1588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7423010100:01:005:0838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Чернігівський шлях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0.0426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7423010100:01:002:1049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0.1133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7423010100:01:003:1112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Миру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0.0887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7423010100:01:005:0839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Жукова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0.1511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7423010100:01:002:1050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Горького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0.0842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7423010100:01:003:1113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Гімназійна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0.1669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7423010100:01:003:1120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Виноградна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0.2255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7423010100:01:003:1119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Вокзальна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0.0584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7423010100:01:005:0844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Гагаріна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0.0762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7423010100:01:002:1069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В. Коробка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0.0846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7423010100:01:004:0945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Берегова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0.0746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7423010100:01:003:1118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</w:t>
            </w:r>
            <w:r>
              <w:rPr>
                <w:sz w:val="24"/>
                <w:szCs w:val="24"/>
                <w:lang w:eastAsia="uk-UA"/>
              </w:rPr>
              <w:t xml:space="preserve">Б.Хмельницького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0.0917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7423010100:01:005:0840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Армійська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0.0656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7423010100:01:003:1117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Абрикосова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0.1010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7423010100:01:002:1068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8 Березня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0.1529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7423010100:01:002:1067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1Травня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0.0394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7423010100:01:005:0841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0.0623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7423010100:01:004:0935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0.1812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7423010100:01:002:1051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0.0598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7423010100:01:002:1053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0.0830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7423010100:01:003:1114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0.1519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7423010100:01:005:0843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Мена, вулиця Гагаріна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0.0110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</w:t>
            </w:r>
            <w:r>
              <w:rPr>
                <w:sz w:val="24"/>
                <w:szCs w:val="24"/>
                <w:lang w:eastAsia="uk-UA"/>
              </w:rPr>
              <w:t xml:space="preserve">0:01:002:10</w:t>
            </w:r>
            <w:r>
              <w:rPr>
                <w:sz w:val="24"/>
                <w:szCs w:val="24"/>
                <w:lang w:eastAsia="uk-UA"/>
              </w:rPr>
              <w:t xml:space="preserve">54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0.0205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7423010100:01:004:0936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0.0507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7423010100:01:004:0937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0.0091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7423010100:01:004:0938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0.0197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7423010100:01:004:0939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0.0041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7423010100:01:002:1056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0.0077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7423010100:01:002:1057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0.0019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7423010100:01:002:1058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0,0190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7423010100:01:002:1059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0,0223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7423010100:01:002:1060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0,0030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7423010100:01:002:1061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0,0126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7423010100:01:002:1062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 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0,0072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7423010100:01:002:1063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0,0127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7423010100:01:004:0940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0,0597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7423010100:01:002:1064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 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0,0279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7423010100:01:003:1116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0,1191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7423010100:01:002:1065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0,1642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7423010100:01:002:1066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 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0,0094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7423010100:01:004:0941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0,0531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7423010100:01:004:0942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 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0,0537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7423010100:01:004:0943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  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0,0454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7423010100:01:004:0944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</w:t>
            </w:r>
            <w:r/>
          </w:p>
        </w:tc>
      </w:tr>
      <w:tr>
        <w:trPr>
          <w:trHeight w:val="326"/>
        </w:trPr>
        <w:tc>
          <w:tcPr>
            <w:tcW w:w="962" w:type="dxa"/>
            <w:textDirection w:val="lrTb"/>
            <w:noWrap w:val="false"/>
          </w:tcPr>
          <w:p>
            <w:pPr>
              <w:pStyle w:val="170"/>
              <w:numPr>
                <w:ilvl w:val="0"/>
                <w:numId w:val="1"/>
              </w:num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</w:r>
            <w:r/>
          </w:p>
        </w:tc>
        <w:tc>
          <w:tcPr>
            <w:tcW w:w="1320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0,0159</w:t>
            </w:r>
            <w:r/>
          </w:p>
        </w:tc>
        <w:tc>
          <w:tcPr>
            <w:tcW w:w="2822" w:type="dxa"/>
            <w:vAlign w:val="bottom"/>
            <w:textDirection w:val="lrTb"/>
            <w:noWrap w:val="false"/>
          </w:tcPr>
          <w:p>
            <w:pPr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7423010100:01:005:0842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Чернігівська область, Менський район, м. Мена</w:t>
            </w:r>
            <w:r/>
          </w:p>
        </w:tc>
      </w:tr>
    </w:tbl>
    <w:p>
      <w:r/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59"/>
      </w:pPr>
    </w:lvl>
    <w:lvl w:ilvl="2">
      <w:start w:val="1"/>
      <w:numFmt w:val="lowerRoman"/>
      <w:suff w:val="tab"/>
      <w:lvlText w:val="%3."/>
      <w:lvlJc w:val="right"/>
      <w:pPr>
        <w:ind w:left="2508" w:hanging="179"/>
      </w:pPr>
    </w:lvl>
    <w:lvl w:ilvl="3">
      <w:start w:val="1"/>
      <w:numFmt w:val="decimal"/>
      <w:suff w:val="tab"/>
      <w:lvlText w:val="%4."/>
      <w:lvlJc w:val="left"/>
      <w:pPr>
        <w:ind w:left="3228" w:hanging="359"/>
      </w:pPr>
    </w:lvl>
    <w:lvl w:ilvl="4">
      <w:start w:val="1"/>
      <w:numFmt w:val="lowerLetter"/>
      <w:suff w:val="tab"/>
      <w:lvlText w:val="%5."/>
      <w:lvlJc w:val="left"/>
      <w:pPr>
        <w:ind w:left="3948" w:hanging="359"/>
      </w:pPr>
    </w:lvl>
    <w:lvl w:ilvl="5">
      <w:start w:val="1"/>
      <w:numFmt w:val="lowerRoman"/>
      <w:suff w:val="tab"/>
      <w:lvlText w:val="%6."/>
      <w:lvlJc w:val="right"/>
      <w:pPr>
        <w:ind w:left="4668" w:hanging="179"/>
      </w:pPr>
    </w:lvl>
    <w:lvl w:ilvl="6">
      <w:start w:val="1"/>
      <w:numFmt w:val="decimal"/>
      <w:suff w:val="tab"/>
      <w:lvlText w:val="%7."/>
      <w:lvlJc w:val="left"/>
      <w:pPr>
        <w:ind w:left="5388" w:hanging="359"/>
      </w:pPr>
    </w:lvl>
    <w:lvl w:ilvl="7">
      <w:start w:val="1"/>
      <w:numFmt w:val="lowerLetter"/>
      <w:suff w:val="tab"/>
      <w:lvlText w:val="%8."/>
      <w:lvlJc w:val="left"/>
      <w:pPr>
        <w:ind w:left="6108" w:hanging="359"/>
      </w:pPr>
    </w:lvl>
    <w:lvl w:ilvl="8">
      <w:start w:val="1"/>
      <w:numFmt w:val="lowerRoman"/>
      <w:suff w:val="tab"/>
      <w:lvlText w:val="%9."/>
      <w:lvlJc w:val="right"/>
      <w:pPr>
        <w:ind w:left="6828" w:hanging="17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6"/>
    <w:next w:val="16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6"/>
    <w:next w:val="16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6"/>
    <w:next w:val="16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6"/>
    <w:next w:val="16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6"/>
    <w:next w:val="16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6"/>
    <w:next w:val="16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6"/>
    <w:next w:val="16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6"/>
    <w:next w:val="16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6"/>
    <w:next w:val="16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6"/>
    <w:next w:val="16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7"/>
    <w:link w:val="32"/>
    <w:uiPriority w:val="10"/>
    <w:rPr>
      <w:sz w:val="48"/>
      <w:szCs w:val="48"/>
    </w:rPr>
  </w:style>
  <w:style w:type="paragraph" w:styleId="34">
    <w:name w:val="Subtitle"/>
    <w:basedOn w:val="166"/>
    <w:next w:val="16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7"/>
    <w:link w:val="34"/>
    <w:uiPriority w:val="11"/>
    <w:rPr>
      <w:sz w:val="24"/>
      <w:szCs w:val="24"/>
    </w:rPr>
  </w:style>
  <w:style w:type="paragraph" w:styleId="36">
    <w:name w:val="Quote"/>
    <w:basedOn w:val="166"/>
    <w:next w:val="16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6"/>
    <w:next w:val="16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7"/>
    <w:link w:val="40"/>
    <w:uiPriority w:val="99"/>
  </w:style>
  <w:style w:type="paragraph" w:styleId="42">
    <w:name w:val="Footer"/>
    <w:basedOn w:val="16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7"/>
    <w:link w:val="42"/>
    <w:uiPriority w:val="99"/>
  </w:style>
  <w:style w:type="table" w:styleId="44">
    <w:name w:val="Table Grid"/>
    <w:basedOn w:val="1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6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7"/>
    <w:uiPriority w:val="99"/>
    <w:unhideWhenUsed/>
    <w:rPr>
      <w:vertAlign w:val="superscript"/>
    </w:rPr>
  </w:style>
  <w:style w:type="paragraph" w:styleId="70">
    <w:name w:val="toc 1"/>
    <w:basedOn w:val="166"/>
    <w:next w:val="166"/>
    <w:uiPriority w:val="39"/>
    <w:unhideWhenUsed/>
    <w:pPr>
      <w:ind w:left="0" w:right="0" w:hanging="0"/>
      <w:spacing w:after="57"/>
    </w:pPr>
  </w:style>
  <w:style w:type="paragraph" w:styleId="71">
    <w:name w:val="toc 2"/>
    <w:basedOn w:val="166"/>
    <w:next w:val="166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6"/>
    <w:next w:val="166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6"/>
    <w:next w:val="166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6"/>
    <w:next w:val="166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6"/>
    <w:next w:val="166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6"/>
    <w:next w:val="166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6"/>
    <w:next w:val="166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6"/>
    <w:next w:val="166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6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ru-RU"/>
    </w:rPr>
    <w:pPr>
      <w:spacing w:lineRule="auto" w:line="240" w:after="0"/>
    </w:pPr>
  </w:style>
  <w:style w:type="character" w:styleId="167" w:default="1">
    <w:name w:val="Default Paragraph Font"/>
    <w:uiPriority w:val="1"/>
    <w:semiHidden/>
    <w:unhideWhenUsed/>
  </w:style>
  <w:style w:type="table" w:styleId="1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9" w:default="1">
    <w:name w:val="No List"/>
    <w:uiPriority w:val="99"/>
    <w:semiHidden/>
    <w:unhideWhenUsed/>
  </w:style>
  <w:style w:type="paragraph" w:styleId="170">
    <w:name w:val="List Paragraph"/>
    <w:basedOn w:val="166"/>
    <w:qFormat/>
    <w:uiPriority w:val="34"/>
    <w:pPr>
      <w:contextualSpacing w:val="true"/>
      <w:ind w:left="720"/>
    </w:pPr>
  </w:style>
  <w:style w:type="character" w:styleId="171" w:customStyle="1">
    <w:name w:val="refs"/>
    <w:basedOn w:val="167"/>
  </w:style>
  <w:style w:type="paragraph" w:styleId="172">
    <w:name w:val="Balloon Text"/>
    <w:basedOn w:val="166"/>
    <w:link w:val="17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173" w:customStyle="1">
    <w:name w:val="Текст выноски Знак"/>
    <w:basedOn w:val="167"/>
    <w:link w:val="172"/>
    <w:uiPriority w:val="99"/>
    <w:semiHidden/>
    <w:rPr>
      <w:rFonts w:ascii="Segoe UI" w:hAnsi="Segoe UI" w:cs="Segoe UI" w:eastAsia="Times New Roman"/>
      <w:sz w:val="18"/>
      <w:szCs w:val="18"/>
      <w:lang w:val="uk-U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