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3874" cy="733424"/>
                <wp:effectExtent l="19049" t="0" r="9524" b="0"/>
                <wp:docPr id="1" name="Рисунок 1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3875" cy="733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1.2pt;height:57.7pt;" strokeweight="0.75pt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Україна</w:t>
      </w:r>
      <w:r/>
    </w:p>
    <w:p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МЕНСЬКА  МІСЬКА   РАДА</w:t>
      </w:r>
      <w:r/>
    </w:p>
    <w:p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Менського району Чернігівської області</w:t>
      </w:r>
      <w:r/>
    </w:p>
    <w:p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(________ сесія сьомого скликання)</w:t>
      </w:r>
      <w:r/>
    </w:p>
    <w:p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</w:rPr>
        <w:t xml:space="preserve">ПРОЄКТ РІШЕННЯ </w:t>
      </w:r>
      <w:r/>
    </w:p>
    <w:p>
      <w:pPr>
        <w:jc w:val="both"/>
        <w:widowControl w:val="off"/>
        <w:rPr>
          <w:rFonts w:eastAsia="Lucida Sans Unicode"/>
          <w:b/>
          <w:sz w:val="28"/>
          <w:szCs w:val="28"/>
          <w:lang w:bidi="hi-IN" w:eastAsia="hi-IN"/>
        </w:rPr>
      </w:pPr>
      <w:r>
        <w:rPr>
          <w:rFonts w:eastAsia="Lucida Sans Unicode"/>
          <w:b/>
          <w:sz w:val="28"/>
          <w:szCs w:val="28"/>
          <w:lang w:bidi="hi-IN" w:eastAsia="hi-IN"/>
        </w:rPr>
      </w:r>
      <w:r/>
    </w:p>
    <w:p>
      <w:pPr>
        <w:jc w:val="both"/>
        <w:widowControl w:val="off"/>
        <w:rPr>
          <w:rFonts w:eastAsia="Lucida Sans Unicode"/>
          <w:sz w:val="28"/>
          <w:szCs w:val="28"/>
          <w:lang w:bidi="hi-IN" w:eastAsia="hi-IN"/>
        </w:rPr>
      </w:pPr>
      <w:r>
        <w:rPr>
          <w:rFonts w:eastAsia="Lucida Sans Unicode"/>
          <w:sz w:val="28"/>
          <w:szCs w:val="28"/>
          <w:lang w:bidi="hi-IN" w:eastAsia="hi-IN"/>
        </w:rPr>
        <w:t xml:space="preserve">_____грудня</w:t>
      </w:r>
      <w:r>
        <w:rPr>
          <w:rFonts w:eastAsia="Lucida Sans Unicode"/>
          <w:sz w:val="28"/>
          <w:szCs w:val="28"/>
          <w:lang w:bidi="hi-IN" w:eastAsia="hi-IN"/>
        </w:rPr>
        <w:t xml:space="preserve"> 2019 року                         м. Мена                                №_____</w:t>
      </w:r>
      <w:r/>
    </w:p>
    <w:p>
      <w:pPr>
        <w:widowControl w:val="off"/>
        <w:rPr>
          <w:rFonts w:eastAsia="Lucida Sans Unicode"/>
          <w:b/>
          <w:sz w:val="24"/>
          <w:szCs w:val="24"/>
          <w:lang w:bidi="hi-IN" w:eastAsia="hi-IN"/>
        </w:rPr>
      </w:pPr>
      <w:r>
        <w:rPr>
          <w:rFonts w:eastAsia="Lucida Sans Unicode"/>
          <w:b/>
          <w:sz w:val="24"/>
          <w:szCs w:val="24"/>
          <w:lang w:bidi="hi-IN" w:eastAsia="hi-IN"/>
        </w:rPr>
      </w:r>
      <w:r/>
    </w:p>
    <w:p>
      <w:pPr>
        <w:ind w:right="4905"/>
        <w:jc w:val="both"/>
        <w:rPr>
          <w:sz w:val="28"/>
          <w:szCs w:val="28"/>
        </w:rPr>
      </w:pPr>
      <w:r/>
      <w:bookmarkStart w:id="0" w:name="_Hlk532220671"/>
      <w:r>
        <w:rPr>
          <w:b/>
          <w:bCs/>
          <w:color w:val="000000"/>
          <w:sz w:val="28"/>
          <w:szCs w:val="28"/>
        </w:rPr>
        <w:t xml:space="preserve">Про затвердження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 xml:space="preserve">Програми </w:t>
      </w:r>
      <w:r>
        <w:rPr>
          <w:rFonts w:eastAsia="Calibri"/>
          <w:b/>
          <w:sz w:val="28"/>
          <w:szCs w:val="28"/>
          <w:lang w:val="uk-UA"/>
        </w:rPr>
        <w:t xml:space="preserve">та П</w:t>
      </w:r>
      <w:r>
        <w:rPr>
          <w:rFonts w:eastAsia="Calibri"/>
          <w:b/>
          <w:sz w:val="28"/>
          <w:szCs w:val="28"/>
          <w:lang w:val="uk-UA"/>
        </w:rPr>
        <w:t xml:space="preserve">оложення </w:t>
      </w:r>
      <w:r>
        <w:rPr>
          <w:rFonts w:eastAsia="Calibri"/>
          <w:b/>
          <w:sz w:val="28"/>
          <w:szCs w:val="28"/>
        </w:rPr>
        <w:t xml:space="preserve">підтримки учасників антитерористичної операції та членів їх сімей, сімей загиблих учасників антитерористичної операції  – мешканців Менської об’єднаної територіальної громади (далі – ОТ</w:t>
      </w:r>
      <w:bookmarkEnd w:id="0"/>
      <w:r>
        <w:rPr>
          <w:rFonts w:eastAsia="Calibri"/>
          <w:b/>
          <w:sz w:val="28"/>
          <w:szCs w:val="28"/>
        </w:rPr>
        <w:t xml:space="preserve">Г) НА 2020-2022 рр.</w:t>
      </w:r>
      <w:r/>
    </w:p>
    <w:p>
      <w:pPr>
        <w:pStyle w:val="291"/>
        <w:ind w:firstLine="708"/>
        <w:jc w:val="both"/>
        <w:spacing w:after="0" w:befor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/>
    </w:p>
    <w:p>
      <w:pPr>
        <w:pStyle w:val="291"/>
        <w:ind w:firstLine="708"/>
        <w:jc w:val="both"/>
        <w:spacing w:after="0" w:before="0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</w:t>
      </w:r>
      <w:r>
        <w:rPr>
          <w:sz w:val="28"/>
          <w:szCs w:val="28"/>
          <w:lang w:val="uk-UA"/>
        </w:rPr>
        <w:t xml:space="preserve"> метою посилення захисту учасників антитерористичної операції та членів їх сімей, матеріальної підтримки сімей загиблих учасників антитерористичної операції – мешканців Менської ОТГ,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пп. </w:t>
      </w:r>
      <w:r>
        <w:rPr>
          <w:sz w:val="28"/>
          <w:szCs w:val="28"/>
          <w:lang w:val="uk-UA"/>
        </w:rPr>
        <w:t xml:space="preserve">22 п. 1 </w:t>
      </w:r>
      <w:r>
        <w:rPr>
          <w:sz w:val="28"/>
          <w:szCs w:val="28"/>
          <w:lang w:val="uk-UA"/>
        </w:rPr>
        <w:t xml:space="preserve">ст. 26</w:t>
      </w:r>
      <w:r>
        <w:rPr>
          <w:sz w:val="28"/>
          <w:szCs w:val="28"/>
          <w:lang w:val="uk-UA"/>
        </w:rPr>
        <w:t xml:space="preserve"> Закону України «Про місцеве самоврядування в Україні», Менська міська рада </w:t>
      </w:r>
      <w:r/>
    </w:p>
    <w:p>
      <w:pPr>
        <w:pStyle w:val="291"/>
        <w:ind w:firstLine="708"/>
        <w:jc w:val="both"/>
        <w:spacing w:after="0" w:before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ВИРІШИЛА:</w:t>
      </w:r>
      <w:r/>
    </w:p>
    <w:p>
      <w:pPr>
        <w:pStyle w:val="292"/>
        <w:numPr>
          <w:ilvl w:val="0"/>
          <w:numId w:val="4"/>
        </w:numPr>
        <w:ind w:left="0" w:right="0" w:hanging="0"/>
        <w:rPr>
          <w:szCs w:val="28"/>
        </w:rPr>
      </w:pPr>
      <w:r>
        <w:rPr>
          <w:szCs w:val="28"/>
        </w:rPr>
        <w:t xml:space="preserve">Затвердити </w:t>
      </w:r>
      <w:r>
        <w:rPr>
          <w:szCs w:val="28"/>
        </w:rPr>
        <w:t xml:space="preserve"> </w:t>
      </w:r>
      <w:bookmarkStart w:id="1" w:name="_Hlk532220387"/>
      <w:r>
        <w:rPr>
          <w:szCs w:val="28"/>
        </w:rPr>
        <w:t xml:space="preserve">Програм</w:t>
      </w:r>
      <w:r>
        <w:rPr>
          <w:szCs w:val="28"/>
        </w:rPr>
        <w:t xml:space="preserve">у</w:t>
      </w:r>
      <w:r>
        <w:rPr>
          <w:szCs w:val="28"/>
        </w:rPr>
        <w:t xml:space="preserve"> підтримки учасників антитерористичної операції та членів їх сімей, сімей загиблих учасників антитерористичної операції – мешканців Менської ОТГ </w:t>
      </w:r>
      <w:bookmarkEnd w:id="1"/>
      <w:r>
        <w:rPr>
          <w:szCs w:val="28"/>
        </w:rPr>
        <w:t xml:space="preserve"> на 2020-2022 рр. згідно додатку № 1 (додається)</w:t>
      </w:r>
      <w:r>
        <w:rPr>
          <w:szCs w:val="28"/>
        </w:rPr>
        <w:t xml:space="preserve"> та Положення про підтримку учасників антитерористичної операції та членів їх сімей, сім'ям загиблих учасників антитерористичної операції/ООС – мешканців об’єднаної територіальної громади згідно додатку №3 (додається)</w:t>
      </w:r>
      <w:r>
        <w:rPr>
          <w:szCs w:val="28"/>
        </w:rPr>
        <w:t xml:space="preserve">.</w:t>
      </w:r>
      <w:r/>
    </w:p>
    <w:p>
      <w:pPr>
        <w:pStyle w:val="292"/>
        <w:numPr>
          <w:ilvl w:val="0"/>
          <w:numId w:val="4"/>
        </w:numPr>
        <w:ind w:left="0" w:right="0" w:hanging="0"/>
        <w:rPr>
          <w:sz w:val="28"/>
          <w:szCs w:val="28"/>
          <w:lang w:val="uk-UA"/>
        </w:rPr>
      </w:pPr>
      <w:r>
        <w:rPr>
          <w:szCs w:val="28"/>
          <w:lang w:val="uk-UA"/>
        </w:rPr>
        <w:t xml:space="preserve">Менській </w:t>
      </w:r>
      <w:r>
        <w:rPr>
          <w:sz w:val="28"/>
          <w:szCs w:val="28"/>
          <w:lang w:val="uk-UA"/>
        </w:rPr>
        <w:t xml:space="preserve">міській раді:</w:t>
      </w:r>
      <w:r/>
    </w:p>
    <w:p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2.1.</w:t>
        <w:tab/>
        <w:t xml:space="preserve">Забезпечити організаційне виконання цієї Програми.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</w:t>
        <w:tab/>
        <w:t xml:space="preserve">При формуванні бюджету Менської міської об’єднаної</w:t>
      </w:r>
      <w:r>
        <w:rPr>
          <w:sz w:val="28"/>
          <w:szCs w:val="28"/>
        </w:rPr>
        <w:t xml:space="preserve"> територіальної громади</w:t>
      </w:r>
      <w:r>
        <w:rPr>
          <w:sz w:val="28"/>
          <w:szCs w:val="28"/>
        </w:rPr>
        <w:t xml:space="preserve"> на 2020</w:t>
      </w:r>
      <w:r>
        <w:rPr>
          <w:sz w:val="28"/>
          <w:szCs w:val="28"/>
        </w:rPr>
        <w:t xml:space="preserve">-2022 роки передбачати кошти на реалізацію заходів Програми, виходячи з її реальних завдань та можливостей бюджету.</w:t>
      </w:r>
      <w:r/>
    </w:p>
    <w:p>
      <w:pPr>
        <w:pStyle w:val="292"/>
        <w:numPr>
          <w:ilvl w:val="0"/>
          <w:numId w:val="4"/>
        </w:numPr>
        <w:ind w:left="0" w:right="0" w:hanging="0"/>
        <w:rPr>
          <w:szCs w:val="28"/>
          <w:lang w:val="uk-UA"/>
        </w:rPr>
      </w:pPr>
      <w:r>
        <w:rPr>
          <w:szCs w:val="28"/>
          <w:lang w:val="uk-UA"/>
        </w:rPr>
        <w:t xml:space="preserve">Контроль за виконанням рішення покласти на </w:t>
      </w:r>
      <w:r>
        <w:rPr>
          <w:szCs w:val="28"/>
          <w:lang w:val="uk-UA"/>
        </w:rPr>
        <w:t xml:space="preserve">заступника міського голови з </w:t>
      </w:r>
      <w:r>
        <w:rPr>
          <w:szCs w:val="28"/>
          <w:lang w:val="uk-UA"/>
        </w:rPr>
        <w:t xml:space="preserve">питань </w:t>
      </w:r>
      <w:r>
        <w:rPr>
          <w:szCs w:val="28"/>
          <w:lang w:val="uk-UA"/>
        </w:rPr>
        <w:t xml:space="preserve">виконавчого комітету Менської м міської ради згідно з розподілом обов’язків.</w:t>
      </w:r>
      <w:r>
        <w:rPr>
          <w:lang w:val="uk-UA"/>
        </w:rPr>
      </w:r>
    </w:p>
    <w:p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spacing w:lineRule="auto" w:line="276" w:after="200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 xml:space="preserve">Міський голова                                    </w:t>
      </w:r>
      <w:r>
        <w:rPr>
          <w:rFonts w:eastAsia="Calibri"/>
          <w:b/>
          <w:sz w:val="28"/>
          <w:szCs w:val="28"/>
          <w:lang w:val="uk-UA"/>
        </w:rPr>
        <w:t xml:space="preserve">                  Г.А.  Примаков</w:t>
      </w:r>
      <w:r/>
    </w:p>
    <w:p>
      <w:pPr>
        <w:shd w:val="nil" w:color="auto" w:fill="FFFFFF"/>
      </w:pPr>
      <w:r>
        <w:br w:type="page"/>
      </w:r>
      <w:r/>
    </w:p>
    <w:p>
      <w:pPr>
        <w:ind w:left="5940"/>
        <w:rPr>
          <w:color w:val="000000"/>
          <w:sz w:val="22"/>
          <w:lang w:val="uk-UA"/>
        </w:rPr>
      </w:pPr>
      <w:r/>
      <w:bookmarkStart w:id="2" w:name="_Hlk532220699"/>
      <w:r>
        <w:rPr>
          <w:color w:val="000000"/>
          <w:sz w:val="22"/>
          <w:lang w:val="uk-UA"/>
        </w:rPr>
        <w:t xml:space="preserve">Додаток №1 </w:t>
      </w:r>
      <w:r>
        <w:rPr>
          <w:color w:val="000000"/>
          <w:sz w:val="22"/>
          <w:lang w:val="uk-UA"/>
        </w:rPr>
        <w:t xml:space="preserve">до</w:t>
      </w:r>
      <w:r>
        <w:rPr>
          <w:color w:val="000000"/>
          <w:sz w:val="22"/>
          <w:lang w:val="uk-UA"/>
        </w:rPr>
        <w:t xml:space="preserve"> проєкту</w:t>
      </w:r>
      <w:r>
        <w:rPr>
          <w:color w:val="000000"/>
          <w:sz w:val="22"/>
          <w:lang w:val="uk-UA"/>
        </w:rPr>
        <w:t xml:space="preserve"> рішення сесії</w:t>
      </w:r>
      <w:r>
        <w:rPr>
          <w:color w:val="000000"/>
          <w:sz w:val="22"/>
          <w:lang w:val="uk-UA"/>
        </w:rPr>
        <w:t xml:space="preserve"> Менської місь</w:t>
      </w:r>
      <w:r>
        <w:rPr>
          <w:color w:val="000000"/>
          <w:sz w:val="22"/>
          <w:lang w:val="uk-UA"/>
        </w:rPr>
        <w:t xml:space="preserve">кої ради №____</w:t>
      </w:r>
      <w:r>
        <w:rPr>
          <w:color w:val="000000"/>
          <w:sz w:val="22"/>
          <w:lang w:val="uk-UA"/>
        </w:rPr>
        <w:t xml:space="preserve"> від  _______________</w:t>
      </w:r>
      <w:r>
        <w:rPr>
          <w:color w:val="000000"/>
          <w:sz w:val="22"/>
          <w:lang w:val="uk-UA"/>
        </w:rPr>
        <w:t xml:space="preserve"> 2019 р. </w:t>
      </w:r>
      <w:r/>
      <w:r>
        <w:rPr>
          <w:color w:val="000000"/>
          <w:sz w:val="22"/>
          <w:lang w:val="uk-UA"/>
        </w:rPr>
        <w:t xml:space="preserve">«</w:t>
      </w:r>
      <w:r>
        <w:rPr>
          <w:bCs/>
          <w:color w:val="000000"/>
          <w:sz w:val="22"/>
          <w:lang w:val="uk-UA"/>
        </w:rPr>
        <w:t xml:space="preserve">Про </w:t>
      </w:r>
      <w:r>
        <w:rPr>
          <w:bCs/>
          <w:color w:val="000000"/>
          <w:sz w:val="22"/>
          <w:lang w:val="uk-UA"/>
        </w:rPr>
        <w:t xml:space="preserve">затвердження </w:t>
      </w:r>
      <w:r>
        <w:rPr>
          <w:rFonts w:eastAsia="Calibri"/>
          <w:sz w:val="22"/>
          <w:lang w:val="uk-UA"/>
        </w:rPr>
        <w:t xml:space="preserve">Програми підтримки учасників антитерористичної операції та членів їх сімей, сімей загиблих учасників антитерористичної операції  – мешканців Менської об’єднаної територіальної громади (далі - ОТГ) на 2020-2022 рр.»</w:t>
      </w:r>
      <w:bookmarkEnd w:id="2"/>
      <w:r/>
      <w:r/>
    </w:p>
    <w:p>
      <w:pPr>
        <w:jc w:val="right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</w:r>
      <w:r/>
    </w:p>
    <w:p>
      <w:pPr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</w:r>
      <w:r/>
    </w:p>
    <w:p>
      <w:pPr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ПРОГРАМА</w:t>
      </w:r>
      <w:r/>
    </w:p>
    <w:p>
      <w:pPr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підтримки  учасників  антитерористичної  операції, операції об’єднаних сил та членів їх сімей, сімей загиблих учасників антитерористичної операції мешканців Менської об’єднаної територіальної громади на 2020-2022 роки</w:t>
      </w:r>
      <w:r/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</w:rPr>
      </w:r>
      <w:r>
        <w:rPr>
          <w:b/>
          <w:bCs/>
          <w:sz w:val="40"/>
          <w:szCs w:val="4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66949" cy="2933699"/>
                <wp:effectExtent l="0" t="0" r="0" b="0"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266950" cy="29336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178.5pt;height:231.0pt;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</w:t>
      </w:r>
      <w:r>
        <w:rPr>
          <w:b/>
          <w:bCs/>
          <w:sz w:val="28"/>
          <w:szCs w:val="28"/>
        </w:rPr>
        <w:t xml:space="preserve">Мена-2019 р.</w:t>
      </w:r>
      <w:r/>
    </w:p>
    <w:p>
      <w:pPr>
        <w:jc w:val="center"/>
        <w:rPr>
          <w:rFonts w:eastAsia="Calibri"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t xml:space="preserve">Вступ</w:t>
      </w:r>
      <w:r/>
    </w:p>
    <w:p>
      <w:pPr>
        <w:ind w:firstLine="709"/>
        <w:jc w:val="both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 xml:space="preserve">Програма підтримки учасників антитерористичної операції об’єднаних сил (далі- ООС) та членів їх сімей, сімей загиблих учасників антитерористичної операції мешканців Менської об’єднаної територіальної громади– мешканців Менської ОТГ  (далі – Програма) поклик</w:t>
      </w:r>
      <w:r>
        <w:rPr>
          <w:sz w:val="28"/>
          <w:szCs w:val="28"/>
        </w:rPr>
        <w:t xml:space="preserve">ана сприяти реалізації Законів України “Про статус ветеранів війни, гарантії їх соціального захисту”, “Про соціальний і правовий захист військовослужбовців та членів їх сімей”, постанов і розпоряджень Кабінету Міністрів України інших нормативно-правових акт</w:t>
      </w:r>
      <w:r>
        <w:rPr>
          <w:sz w:val="28"/>
          <w:szCs w:val="28"/>
        </w:rPr>
        <w:t xml:space="preserve">ів щодо соціального захисту сімей загиблих учасників антитерористичної операції, військовослужбовців і поранених учасників АТО/ ООС та вшанування пам’яті загиблих.</w:t>
      </w:r>
      <w:r/>
    </w:p>
    <w:p>
      <w:pPr>
        <w:ind w:firstLine="709"/>
        <w:jc w:val="both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 xml:space="preserve">Це комплекс заходів, що здійснюються з метою фінансової та іншої соціальної підтримки жителів ОТГ, яких скеровують у зону проведення антитерористичних операцій, операцій об’єднаних сил (надалі – АТО/ООС), та членів їх родин, сприяння вирішенню питань матері</w:t>
      </w:r>
      <w:r>
        <w:rPr>
          <w:sz w:val="28"/>
          <w:szCs w:val="28"/>
        </w:rPr>
        <w:t xml:space="preserve">ально-побутового забезпечення учасників АТО/ ООС, соціально-побутових питань осіб, які брали участь у проведенні АТО /ООС та членів їх сімей, а також членів сімей загиблих під час здійснення АТО /ООС тощо.</w:t>
      </w:r>
      <w:r/>
    </w:p>
    <w:p>
      <w:pPr>
        <w:ind w:firstLine="709"/>
        <w:jc w:val="both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 xml:space="preserve">У рамках Програми передбачається надання допомоги особам рядового і начальницького складу, співробітникам Міністерства оборони України, Національної поліції України, Служби безпеки України, Державної прикордонної служби України, Національної гвардії України</w:t>
      </w:r>
      <w:r>
        <w:rPr>
          <w:sz w:val="28"/>
          <w:szCs w:val="28"/>
        </w:rPr>
        <w:t xml:space="preserve">, Державної служби України з надзвичайних ситуацій у Чернігівській області тощо, які беруть участь в АТО, та допомоги переліченим вище категоріям осіб під час підготовки до відправки у зону АТО/ООС. Це, зокрема, матеріальна підтримка громадян, яких скеровую</w:t>
      </w:r>
      <w:r>
        <w:rPr>
          <w:sz w:val="28"/>
          <w:szCs w:val="28"/>
        </w:rPr>
        <w:t xml:space="preserve">ть у зону АТО/ООС; надання соціальної підтримки учасникам АТО/ООС та членам їх сімей (у тому числі надання матеріальної допомоги); допомога постраждалим під час проведення АТО</w:t>
      </w:r>
      <w:r>
        <w:rPr>
          <w:sz w:val="28"/>
          <w:szCs w:val="28"/>
        </w:rPr>
        <w:t xml:space="preserve">/ООС</w:t>
      </w:r>
      <w:r>
        <w:rPr>
          <w:sz w:val="28"/>
          <w:szCs w:val="28"/>
        </w:rPr>
        <w:t xml:space="preserve">; допомога родинам загиблих під час проведення АТО/ООС, вшанування пам’яті загиблих, патріотичне виховання  тощо.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Програма діє у 2020-2022 роках.</w:t>
      </w:r>
      <w:r/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Заходи Програми</w:t>
      </w:r>
      <w:r/>
    </w:p>
    <w:p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1.1. Загальні положення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1.1.1. В умовах проведення в Україні АТО/ООС виникає необхідність надання додаткових соціальних гарантій учасникам АТО/ООС, членам їх сімей, а також сім’ям загиблих під час проведення АТО/ООС, зокрема, у частині поліпшення фінансово-матеріального стану зазн</w:t>
      </w:r>
      <w:r>
        <w:rPr>
          <w:sz w:val="28"/>
          <w:szCs w:val="28"/>
        </w:rPr>
        <w:t xml:space="preserve">ачених категорій осіб. 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1.1.2. Надання допомоги та пільг учасникам АТО, членам їх сімей, сім’ям загиблих під час проведення АТО/ООС, здійснюється на підставі Положення про підтримки учасників антитерористичної операції, операції </w:t>
      </w:r>
      <w:r>
        <w:rPr>
          <w:sz w:val="28"/>
          <w:szCs w:val="28"/>
        </w:rPr>
        <w:t xml:space="preserve">об’єднаних сил та членів їх сімей, сімей загиблих учасників антитерористичної операції мешканців Менської об’єднаної територіальної громади.</w:t>
      </w:r>
      <w:r/>
    </w:p>
    <w:p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1.1.3. Проведення заходів з метою вшанування пам’яті загиблих воїнів та виховання патріотизму серед населення, поширення інформації про мужність воїнів АТО/ООС.</w:t>
      </w:r>
      <w:r/>
    </w:p>
    <w:p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1.2. Мета та основні завдання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 Метою Програми є підвищення рівня соціального захисту учасників АТО/ООС -постраждалих під час несення служби в зоні проведення антитерористичної операції, членів їх сімей та сімей загиблих під час здійснення АТО/ООС.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1.2.2. Для досягнення мети Програми передбачається надання одноразової матеріальної допомоги (у разі поранення), одноразової матеріальної допомоги на поховання  загиблих учасників АТО/ООС,надання одноразової матеріальної допомоги чл</w:t>
      </w:r>
      <w:r>
        <w:rPr>
          <w:sz w:val="28"/>
          <w:szCs w:val="28"/>
        </w:rPr>
        <w:t xml:space="preserve">енам сімей.</w:t>
      </w:r>
      <w:r/>
    </w:p>
    <w:p>
      <w:pPr>
        <w:numPr>
          <w:ilvl w:val="2"/>
          <w:numId w:val="3"/>
        </w:numPr>
        <w:ind w:firstLine="709"/>
        <w:jc w:val="both"/>
      </w:pPr>
      <w:r>
        <w:rPr>
          <w:sz w:val="28"/>
          <w:szCs w:val="28"/>
        </w:rPr>
        <w:t xml:space="preserve">Виплата допомоги проводиться за рішенням виконавчого комітету Менської міської ради.</w:t>
      </w:r>
      <w:r/>
    </w:p>
    <w:p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1.3. Очікувані результати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Посилення соціального захисту учасників АТО/ООС та членів їх сімей, сімей загиблих під час проведення АТО/ООС.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1.3.2. Надання додаткових гарантій соціального захисту учасникам АТО/ООС та членів їх сімей, сім'ям загиблих під час проведення АТО/ООС – мешканцям  ОТГ- за рахунок коштів бюджету Менської ОТГ та інших джерел фінансування, не заборонених законодавством Укра</w:t>
      </w:r>
      <w:r>
        <w:rPr>
          <w:sz w:val="28"/>
          <w:szCs w:val="28"/>
        </w:rPr>
        <w:t xml:space="preserve">їни.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Зростання довіри до влади громади.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Формування позитивного ставлення до військовослужбовців та членів їх сімей. </w:t>
      </w:r>
      <w:r/>
    </w:p>
    <w:p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1.4. Джерела фінансування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1.4.1. Фінансування Програми здійснюється за рахунок видатків загального фонду бюджету Менської ОТГ, передбачених на 2020-2022 роки та інших джерел фінансування, не заборонених законодавством України. </w:t>
      </w:r>
      <w:r/>
    </w:p>
    <w:p>
      <w:pPr>
        <w:jc w:val="center"/>
        <w:spacing w:after="24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  <w:r/>
    </w:p>
    <w:p>
      <w:pPr>
        <w:ind w:left="5940"/>
        <w:rPr>
          <w:color w:val="000000"/>
          <w:sz w:val="22"/>
        </w:rPr>
      </w:pPr>
      <w:r>
        <w:rPr>
          <w:rFonts w:eastAsia="Calibri"/>
          <w:b/>
          <w:sz w:val="28"/>
          <w:szCs w:val="28"/>
        </w:rPr>
        <w:br w:type="page"/>
      </w:r>
      <w:r>
        <w:rPr>
          <w:color w:val="000000"/>
          <w:sz w:val="22"/>
        </w:rPr>
        <w:t xml:space="preserve">Додаток №2 </w:t>
      </w:r>
      <w:r>
        <w:rPr>
          <w:color w:val="000000"/>
          <w:sz w:val="22"/>
        </w:rPr>
        <w:t xml:space="preserve">до </w:t>
      </w:r>
      <w:r>
        <w:rPr>
          <w:color w:val="000000"/>
          <w:sz w:val="22"/>
          <w:lang w:val="uk-UA"/>
        </w:rPr>
        <w:t xml:space="preserve">проє</w:t>
      </w:r>
      <w:r>
        <w:rPr>
          <w:color w:val="000000"/>
          <w:sz w:val="22"/>
          <w:lang w:val="uk-UA"/>
        </w:rPr>
        <w:t xml:space="preserve">кту </w:t>
      </w:r>
      <w:r>
        <w:rPr>
          <w:color w:val="000000"/>
          <w:sz w:val="22"/>
        </w:rPr>
        <w:t xml:space="preserve">рішення </w:t>
      </w:r>
      <w:r>
        <w:rPr>
          <w:color w:val="000000"/>
          <w:sz w:val="22"/>
          <w:lang w:val="uk-UA"/>
        </w:rPr>
        <w:t xml:space="preserve">сесії</w:t>
      </w:r>
      <w:r>
        <w:rPr>
          <w:color w:val="000000"/>
          <w:sz w:val="22"/>
        </w:rPr>
        <w:t xml:space="preserve"> Менської місь</w:t>
      </w:r>
      <w:r>
        <w:rPr>
          <w:color w:val="000000"/>
          <w:sz w:val="22"/>
        </w:rPr>
        <w:t xml:space="preserve">кої ради №____</w:t>
      </w:r>
      <w:r>
        <w:rPr>
          <w:color w:val="000000"/>
          <w:sz w:val="22"/>
        </w:rPr>
        <w:t xml:space="preserve"> від  </w:t>
      </w:r>
      <w:r>
        <w:rPr>
          <w:color w:val="000000"/>
          <w:sz w:val="22"/>
          <w:lang w:val="uk-UA"/>
        </w:rPr>
        <w:t xml:space="preserve">__________</w:t>
      </w:r>
      <w:r>
        <w:rPr>
          <w:color w:val="000000"/>
          <w:sz w:val="22"/>
        </w:rPr>
        <w:t xml:space="preserve"> 2019 р.</w:t>
      </w:r>
      <w:r/>
    </w:p>
    <w:p>
      <w:pPr>
        <w:ind w:left="5940"/>
        <w:rPr>
          <w:color w:val="000000"/>
          <w:sz w:val="22"/>
        </w:rPr>
      </w:pPr>
      <w:r>
        <w:rPr>
          <w:color w:val="000000"/>
          <w:sz w:val="22"/>
        </w:rPr>
        <w:t xml:space="preserve">«</w:t>
      </w:r>
      <w:r>
        <w:rPr>
          <w:bCs/>
          <w:color w:val="000000"/>
          <w:sz w:val="22"/>
        </w:rPr>
        <w:t xml:space="preserve">Про </w:t>
      </w:r>
      <w:r>
        <w:rPr>
          <w:bCs/>
          <w:color w:val="000000"/>
          <w:sz w:val="22"/>
          <w:lang w:val="uk-UA"/>
        </w:rPr>
        <w:t xml:space="preserve">затвердження</w:t>
      </w:r>
      <w:r>
        <w:rPr>
          <w:bCs/>
          <w:color w:val="000000"/>
          <w:sz w:val="22"/>
        </w:rPr>
        <w:t xml:space="preserve"> </w:t>
      </w:r>
      <w:r>
        <w:rPr>
          <w:rFonts w:eastAsia="Calibri"/>
          <w:sz w:val="22"/>
        </w:rPr>
        <w:t xml:space="preserve">Програми підтримки учасників антитерористичної операції та членів їх сімей, сімей загиблих учасників антитерористичної операції  – мешканців Менської об’єднаної територіальної громади (далі - ОТГ) на 2020-2022 рр.»</w:t>
      </w:r>
      <w:r/>
    </w:p>
    <w:p>
      <w:pPr>
        <w:ind w:left="5529"/>
        <w:jc w:val="both"/>
      </w:pPr>
      <w:r/>
      <w:r/>
    </w:p>
    <w:p>
      <w:pPr>
        <w:ind w:left="576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НЕОБХІДНА СУМА ВИДАТКІВ</w:t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фінансування у 2020-2022 рокахкомплексної Програми підтримки учасників антитерористичної операції, операції об’єднаних сил та членів їх сімей, сімей загиблих учасників антитерористичної операції мешканців Менської об’єднаної територіальної громади</w:t>
      </w:r>
      <w:r/>
    </w:p>
    <w:p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tbl>
      <w:tblPr>
        <w:tblW w:w="9660" w:type="dxa"/>
        <w:tblInd w:w="-11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5"/>
        <w:gridCol w:w="545"/>
        <w:gridCol w:w="4614"/>
        <w:gridCol w:w="1035"/>
        <w:gridCol w:w="7"/>
        <w:gridCol w:w="1043"/>
        <w:gridCol w:w="1035"/>
        <w:gridCol w:w="7"/>
        <w:gridCol w:w="1042"/>
        <w:gridCol w:w="317"/>
      </w:tblGrid>
      <w:tr>
        <w:trPr>
          <w:gridAfter w:val="1"/>
          <w:wAfter w:w="317" w:type="dxa"/>
          <w:trHeight w:val="253"/>
        </w:trPr>
        <w:tc>
          <w:tcPr>
            <w:gridSpan w:val="2"/>
            <w:tcW w:w="560" w:type="dxa"/>
            <w:vMerge w:val="restart"/>
            <w:textDirection w:val="lrTb"/>
            <w:noWrap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</w:r>
            <w:r/>
          </w:p>
        </w:tc>
        <w:tc>
          <w:tcPr>
            <w:tcW w:w="4614" w:type="dxa"/>
            <w:vMerge w:val="restart"/>
            <w:textDirection w:val="lrTb"/>
            <w:noWrap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</w:r>
            <w:r/>
          </w:p>
        </w:tc>
        <w:tc>
          <w:tcPr>
            <w:gridSpan w:val="2"/>
            <w:tcW w:w="1042" w:type="dxa"/>
            <w:vMerge w:val="restart"/>
            <w:textDirection w:val="lrTb"/>
            <w:noWrap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Сума, тис. грн./чол.</w:t>
            </w:r>
            <w:r/>
          </w:p>
        </w:tc>
        <w:tc>
          <w:tcPr>
            <w:gridSpan w:val="4"/>
            <w:tcW w:w="3127" w:type="dxa"/>
            <w:vMerge w:val="restart"/>
            <w:textDirection w:val="lrTb"/>
            <w:noWrap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Орієнтовна вартість фінансування, тис.грн.</w:t>
            </w:r>
            <w:r/>
          </w:p>
        </w:tc>
      </w:tr>
      <w:tr>
        <w:trPr>
          <w:gridAfter w:val="1"/>
          <w:wAfter w:w="317" w:type="dxa"/>
          <w:trHeight w:val="236"/>
        </w:trPr>
        <w:tc>
          <w:tcPr>
            <w:gridSpan w:val="2"/>
            <w:tcW w:w="560" w:type="dxa"/>
            <w:textDirection w:val="lrTb"/>
            <w:noWrap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№ з/п</w:t>
            </w:r>
            <w:r/>
          </w:p>
        </w:tc>
        <w:tc>
          <w:tcPr>
            <w:tcW w:w="4614" w:type="dxa"/>
            <w:textDirection w:val="lrTb"/>
            <w:noWrap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Напрямки використання</w:t>
            </w:r>
            <w:r/>
          </w:p>
        </w:tc>
        <w:tc>
          <w:tcPr>
            <w:gridSpan w:val="2"/>
            <w:tcW w:w="1042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043" w:type="dxa"/>
            <w:textDirection w:val="lrTb"/>
            <w:noWrap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2020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2021</w:t>
            </w:r>
            <w:r/>
          </w:p>
        </w:tc>
        <w:tc>
          <w:tcPr>
            <w:tcW w:w="1042" w:type="dxa"/>
            <w:textDirection w:val="lrTb"/>
            <w:noWrap/>
          </w:tcPr>
          <w:p>
            <w:pPr>
              <w:rPr>
                <w:sz w:val="22"/>
                <w:szCs w:val="28"/>
              </w:rPr>
            </w:pPr>
            <w:r>
              <w:rPr>
                <w:sz w:val="22"/>
              </w:rPr>
              <w:t xml:space="preserve">2022</w:t>
            </w:r>
            <w:r/>
          </w:p>
        </w:tc>
      </w:tr>
      <w:tr>
        <w:trPr>
          <w:gridAfter w:val="1"/>
          <w:wAfter w:w="317" w:type="dxa"/>
          <w:trHeight w:val="485"/>
        </w:trPr>
        <w:tc>
          <w:tcPr>
            <w:gridSpan w:val="2"/>
            <w:tcW w:w="560" w:type="dxa"/>
            <w:textDirection w:val="lrTb"/>
            <w:noWrap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</w:t>
            </w:r>
            <w:r/>
          </w:p>
        </w:tc>
        <w:tc>
          <w:tcPr>
            <w:tcW w:w="4614" w:type="dxa"/>
            <w:textDirection w:val="lrTb"/>
            <w:noWrap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Надання одноразової матеріальної допомоги (у разі поранення)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</w:t>
            </w:r>
            <w:r/>
          </w:p>
        </w:tc>
        <w:tc>
          <w:tcPr>
            <w:tcW w:w="1043" w:type="dxa"/>
            <w:textDirection w:val="lrTb"/>
            <w:noWrap/>
          </w:tcPr>
          <w:p>
            <w:pPr>
              <w:rPr>
                <w:sz w:val="28"/>
              </w:rPr>
            </w:pPr>
            <w:r>
              <w:rPr>
                <w:sz w:val="28"/>
              </w:rPr>
              <w:t xml:space="preserve">20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rPr>
                <w:sz w:val="28"/>
              </w:rPr>
            </w:pPr>
            <w:r>
              <w:rPr>
                <w:sz w:val="28"/>
              </w:rPr>
              <w:t xml:space="preserve">20</w:t>
            </w:r>
            <w:r/>
          </w:p>
        </w:tc>
        <w:tc>
          <w:tcPr>
            <w:tcW w:w="1042" w:type="dxa"/>
            <w:textDirection w:val="lrTb"/>
            <w:noWrap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20</w:t>
            </w:r>
            <w:r/>
          </w:p>
        </w:tc>
      </w:tr>
      <w:tr>
        <w:trPr>
          <w:gridAfter w:val="1"/>
          <w:wAfter w:w="317" w:type="dxa"/>
          <w:trHeight w:val="465"/>
        </w:trPr>
        <w:tc>
          <w:tcPr>
            <w:gridSpan w:val="2"/>
            <w:tcW w:w="560" w:type="dxa"/>
            <w:textDirection w:val="lrTb"/>
            <w:noWrap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</w:t>
            </w:r>
            <w:r/>
          </w:p>
        </w:tc>
        <w:tc>
          <w:tcPr>
            <w:tcW w:w="4614" w:type="dxa"/>
            <w:textDirection w:val="lrTb"/>
            <w:noWrap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Надання одноразової матеріальної допомоги на поховання загиблих учасників АТО/ООС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</w:t>
            </w:r>
            <w:r/>
          </w:p>
        </w:tc>
        <w:tc>
          <w:tcPr>
            <w:tcW w:w="1043" w:type="dxa"/>
            <w:textDirection w:val="lrTb"/>
            <w:noWrap/>
          </w:tcPr>
          <w:p>
            <w:pPr>
              <w:rPr>
                <w:sz w:val="28"/>
              </w:rPr>
            </w:pPr>
            <w:r>
              <w:rPr>
                <w:sz w:val="28"/>
              </w:rPr>
              <w:t xml:space="preserve">6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rPr>
                <w:sz w:val="28"/>
              </w:rPr>
            </w:pPr>
            <w:r>
              <w:rPr>
                <w:sz w:val="28"/>
              </w:rPr>
              <w:t xml:space="preserve">6</w:t>
            </w:r>
            <w:r/>
          </w:p>
        </w:tc>
        <w:tc>
          <w:tcPr>
            <w:tcW w:w="1042" w:type="dxa"/>
            <w:textDirection w:val="lrTb"/>
            <w:noWrap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6</w:t>
            </w:r>
            <w:r/>
          </w:p>
        </w:tc>
      </w:tr>
      <w:tr>
        <w:trPr>
          <w:gridAfter w:val="1"/>
          <w:wAfter w:w="317" w:type="dxa"/>
          <w:trHeight w:val="1050"/>
        </w:trPr>
        <w:tc>
          <w:tcPr>
            <w:gridSpan w:val="2"/>
            <w:tcW w:w="560" w:type="dxa"/>
            <w:textDirection w:val="lrTb"/>
            <w:noWrap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/>
          </w:p>
        </w:tc>
        <w:tc>
          <w:tcPr>
            <w:tcW w:w="4614" w:type="dxa"/>
            <w:textDirection w:val="lrTb"/>
            <w:noWrap/>
          </w:tcPr>
          <w:p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Надання одноразової матеріальної допомоги членам сімей, сім’ям загиблих учасників АТО/ООС під час проведення АТО/ООС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10</w:t>
            </w:r>
            <w:r/>
          </w:p>
        </w:tc>
        <w:tc>
          <w:tcPr>
            <w:tcW w:w="1043" w:type="dxa"/>
            <w:textDirection w:val="lrTb"/>
            <w:noWrap/>
          </w:tcPr>
          <w:p>
            <w:pPr>
              <w:rPr>
                <w:color w:val="000000"/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90</w:t>
            </w:r>
            <w:r/>
          </w:p>
        </w:tc>
        <w:tc>
          <w:tcPr>
            <w:gridSpan w:val="2"/>
            <w:tcW w:w="1042" w:type="dxa"/>
            <w:textDirection w:val="lrTb"/>
            <w:noWrap/>
          </w:tcPr>
          <w:p>
            <w:pPr>
              <w:rPr>
                <w:color w:val="000000"/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90</w:t>
            </w:r>
            <w:r/>
          </w:p>
        </w:tc>
        <w:tc>
          <w:tcPr>
            <w:tcW w:w="1042" w:type="dxa"/>
            <w:textDirection w:val="lrTb"/>
            <w:noWrap/>
          </w:tcPr>
          <w:p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90</w:t>
            </w:r>
            <w:r/>
          </w:p>
        </w:tc>
      </w:tr>
      <w:tr>
        <w:trPr>
          <w:gridAfter w:val="1"/>
          <w:wAfter w:w="317" w:type="dxa"/>
          <w:trHeight w:val="255"/>
        </w:trPr>
        <w:tc>
          <w:tcPr>
            <w:gridSpan w:val="3"/>
            <w:tcW w:w="5174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ab/>
            </w:r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050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 xml:space="preserve">116 </w:t>
            </w:r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 xml:space="preserve">116</w:t>
            </w:r>
            <w:r/>
          </w:p>
        </w:tc>
        <w:tc>
          <w:tcPr>
            <w:gridSpan w:val="2"/>
            <w:tcW w:w="1049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 xml:space="preserve">116</w:t>
            </w:r>
            <w:r/>
          </w:p>
        </w:tc>
      </w:tr>
      <w:tr>
        <w:trPr>
          <w:gridAfter w:val="1"/>
          <w:wAfter w:w="317" w:type="dxa"/>
          <w:trHeight w:val="150"/>
        </w:trPr>
        <w:tc>
          <w:tcPr>
            <w:gridSpan w:val="3"/>
            <w:tcW w:w="5174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 xml:space="preserve">Всього за 2020-2022 р.р.</w:t>
            </w:r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 xml:space="preserve">348</w:t>
            </w:r>
            <w:r/>
          </w:p>
        </w:tc>
        <w:tc>
          <w:tcPr>
            <w:gridSpan w:val="2"/>
            <w:tcW w:w="1050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049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>
          <w:gridBefore w:val="1"/>
          <w:wBefore w:w="15" w:type="dxa"/>
          <w:trHeight w:val="285"/>
        </w:trPr>
        <w:tc>
          <w:tcPr>
            <w:gridSpan w:val="9"/>
            <w:tcW w:w="9645" w:type="dxa"/>
            <w:textDirection w:val="lrTb"/>
            <w:noWrap w:val="false"/>
          </w:tcPr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tabs>
                <w:tab w:val="left" w:pos="7188" w:leader="none"/>
              </w:tabs>
              <w:rPr>
                <w:b/>
                <w:bCs/>
                <w:sz w:val="28"/>
                <w:szCs w:val="28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b/>
                <w:bCs/>
                <w:sz w:val="28"/>
                <w:szCs w:val="28"/>
              </w:rPr>
              <w:tab/>
            </w:r>
            <w:r/>
          </w:p>
        </w:tc>
      </w:tr>
    </w:tbl>
    <w:p>
      <w:pPr>
        <w:ind w:left="5940"/>
        <w:rPr>
          <w:color w:val="000000"/>
          <w:sz w:val="22"/>
        </w:rPr>
      </w:pPr>
      <w:r>
        <w:rPr>
          <w:rFonts w:eastAsia="Calibri"/>
          <w:b/>
          <w:sz w:val="28"/>
          <w:szCs w:val="28"/>
        </w:rPr>
        <w:br w:type="page"/>
      </w:r>
      <w:r>
        <w:rPr>
          <w:color w:val="000000"/>
          <w:sz w:val="22"/>
        </w:rPr>
        <w:t xml:space="preserve">Додаток №3 </w:t>
      </w:r>
      <w:r>
        <w:rPr>
          <w:color w:val="000000"/>
          <w:sz w:val="22"/>
        </w:rPr>
        <w:t xml:space="preserve">до </w:t>
      </w:r>
      <w:r>
        <w:rPr>
          <w:color w:val="000000"/>
          <w:sz w:val="22"/>
          <w:lang w:val="uk-UA"/>
        </w:rPr>
        <w:t xml:space="preserve">проєкту </w:t>
      </w:r>
      <w:r>
        <w:rPr>
          <w:color w:val="000000"/>
          <w:sz w:val="22"/>
        </w:rPr>
        <w:t xml:space="preserve">рішення </w:t>
      </w:r>
      <w:r>
        <w:rPr>
          <w:color w:val="000000"/>
          <w:sz w:val="22"/>
          <w:lang w:val="uk-UA"/>
        </w:rPr>
        <w:t xml:space="preserve">сесії</w:t>
      </w:r>
      <w:r>
        <w:rPr>
          <w:color w:val="000000"/>
          <w:sz w:val="22"/>
        </w:rPr>
        <w:t xml:space="preserve"> Менської місь</w:t>
      </w:r>
      <w:r>
        <w:rPr>
          <w:color w:val="000000"/>
          <w:sz w:val="22"/>
        </w:rPr>
        <w:t xml:space="preserve">кої ради №____</w:t>
      </w:r>
      <w:r>
        <w:rPr>
          <w:color w:val="000000"/>
          <w:sz w:val="22"/>
        </w:rPr>
        <w:t xml:space="preserve"> від  </w:t>
      </w:r>
      <w:r>
        <w:rPr>
          <w:color w:val="000000"/>
          <w:sz w:val="22"/>
          <w:lang w:val="uk-UA"/>
        </w:rPr>
        <w:t xml:space="preserve">____________</w:t>
      </w:r>
      <w:r>
        <w:rPr>
          <w:color w:val="000000"/>
          <w:sz w:val="22"/>
        </w:rPr>
        <w:t xml:space="preserve"> 2019 р.</w:t>
      </w:r>
      <w:r/>
    </w:p>
    <w:p>
      <w:pPr>
        <w:ind w:left="5940"/>
        <w:rPr>
          <w:color w:val="000000"/>
          <w:sz w:val="22"/>
        </w:rPr>
      </w:pPr>
      <w:r>
        <w:rPr>
          <w:color w:val="000000"/>
          <w:sz w:val="22"/>
        </w:rPr>
        <w:t xml:space="preserve">«</w:t>
      </w:r>
      <w:r>
        <w:rPr>
          <w:bCs/>
          <w:color w:val="000000"/>
          <w:sz w:val="22"/>
        </w:rPr>
        <w:t xml:space="preserve">Про </w:t>
      </w:r>
      <w:r>
        <w:rPr>
          <w:bCs/>
          <w:color w:val="000000"/>
          <w:sz w:val="22"/>
          <w:lang w:val="uk-UA"/>
        </w:rPr>
        <w:t xml:space="preserve">затвердження</w:t>
      </w:r>
      <w:r>
        <w:rPr>
          <w:bCs/>
          <w:color w:val="000000"/>
          <w:sz w:val="22"/>
        </w:rPr>
        <w:t xml:space="preserve"> </w:t>
      </w:r>
      <w:r>
        <w:rPr>
          <w:rFonts w:eastAsia="Calibri"/>
          <w:sz w:val="22"/>
        </w:rPr>
        <w:t xml:space="preserve">Програми підтримки учасників антитерористичної операції та членів їх сімей, сімей загиблих учасників антитерористичної операції  – мешканців Менської об’єднаної територіальної громади (далі - ОТГ) на 2020-2022 рр.»</w:t>
      </w:r>
      <w:r/>
    </w:p>
    <w:p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ПОЛОЖЕННЯ </w:t>
      </w:r>
      <w:r/>
    </w:p>
    <w:p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про підтримку  учасників антитерористичної операції /ООС та членів їх сімей, сімей загиблих учасників антитерористичної операціїООС– мешканців об’єднаної територіальної громади</w:t>
      </w:r>
      <w:r/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Положення про підтримку учасників антитерористичної операції та членів їх сімей, сім'ям загиблих учасників антитерористичної операції/ООС – мешканців об’єднаної територіальної громади (надалі – Положення) визначає порядок надання матеріальної допомоги мо</w:t>
      </w:r>
      <w:r>
        <w:rPr>
          <w:sz w:val="28"/>
          <w:szCs w:val="28"/>
        </w:rPr>
        <w:t xml:space="preserve">білізованим учасникам антитерористичної операції - постраждалим під час участі в антитерористичній операції/ООС (у разі поранення, контузії чи каліцтва, у тому числі встановлення інвалідності або часткової втрати працездатності без встановлення інвалідності</w:t>
      </w:r>
      <w:r>
        <w:rPr>
          <w:sz w:val="28"/>
          <w:szCs w:val="28"/>
        </w:rPr>
        <w:t xml:space="preserve">, інших пошкоджень, одержаних під час участі в антитерористичній операції\ООС; тривалої хвороби, пов’язаної з участю в антитерористичній операції, тощо), членам сімей, сім’ям загиблих учасників АТО/ООС під час проведення АТО/</w:t>
      </w:r>
      <w:r>
        <w:rPr>
          <w:sz w:val="28"/>
          <w:szCs w:val="28"/>
        </w:rPr>
        <w:t xml:space="preserve">ООС.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Для отримання одноразової матеріальної допомоги учасник антитерористичної операції/ООС -постраждалий під час участі в антитерористичній операції/ООС</w:t>
      </w:r>
      <w:r>
        <w:rPr>
          <w:sz w:val="28"/>
          <w:szCs w:val="28"/>
        </w:rPr>
        <w:t xml:space="preserve">, члени сімей, сім’ям загиблих учасників АТО/ООС подають</w:t>
      </w:r>
      <w:r>
        <w:rPr>
          <w:sz w:val="28"/>
          <w:szCs w:val="28"/>
        </w:rPr>
        <w:t xml:space="preserve"> заяву. 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До заяви додаються такі документи: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Копія паспорта (1, 2, 11, 12 сторінки).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Копія ідентифікаційного номера (крім осіб, які через свої релігійні переконання відмовились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у пас</w:t>
      </w:r>
      <w:r>
        <w:rPr>
          <w:sz w:val="28"/>
          <w:szCs w:val="28"/>
        </w:rPr>
        <w:t xml:space="preserve">порті).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Інформація про рахунок у банківській установі – у разі виплати одноразової матеріальної допомоги через банківську установу.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 Копію посвідчення учасника бойових дій чи довідку про безпосередню участь у зоні проведення АТО\ООС, установленого зразка.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Видані та скріплені печаткою уповноважених органів (зокрема Міністерства оборони України, Міністерства внутрішніх справ України, Служби безпеки України, Державної прикордонної служби України, Національної гвардії України, Державної служби України з над</w:t>
      </w:r>
      <w:r>
        <w:rPr>
          <w:sz w:val="28"/>
          <w:szCs w:val="28"/>
        </w:rPr>
        <w:t xml:space="preserve">звичайних ситуацій тощо або їх територіальними органами (надалі – уповноважені органи) довідки, листи та інші письмові документи, які підтверджують факт </w:t>
      </w:r>
      <w:r>
        <w:rPr>
          <w:sz w:val="28"/>
          <w:szCs w:val="28"/>
        </w:rPr>
        <w:t xml:space="preserve">поранення, контузії чи каліцтва заявника під час участі в антитерористичній операції (у тому числі встановлення інвалідності або часткової втрати працездатності без встановлення інвалідності, інших пошкоджень, одержаних під час участі в антитерористичній оп</w:t>
      </w:r>
      <w:r>
        <w:rPr>
          <w:sz w:val="28"/>
          <w:szCs w:val="28"/>
        </w:rPr>
        <w:t xml:space="preserve">ерації чи під час підготовки до відправки у зону антитерористичної операції, тривалої хвороби, пов’язаної з участю в антитерористичній операції, тощо) – для постраждалих учасників АТО/ООС.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 разі смерті учасника АТО/ООС допомога виплачується сім'ї загиблого.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До заяви від члена сім’ї загиблого про виплату одноразової грошової допомоги додаються такі документи: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свідоцтва про смерть;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документа, що підтверджує факт участі загиблого в зоні АТО/ООС;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сторінок паспорта отримувача одноразової допомоги;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ідентифікаційного номера отримувача допомоги;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довідка про склад сім’ї загиблого;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свідоцтва про народження загиблого (для виплати батькам загиблого);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свідоцтва про шлюб (для виплати дружині загиблого);</w:t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копія свідоцтва про народження дитини (для виплати дітям загиблого).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Розгляд заяв про надання одноразової матеріальної допомоги здійснює виконавчий комітет Менської міської ради.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Розмір допомоги учасникам антитерористичної операції постраждалим під час участі в антитерористичній операції/ООСвизначається  в межах 10 тис. грн. (для визначення розміру виплати враховується медична документація, яка підтверджує наявне поранення чи зах</w:t>
      </w:r>
      <w:r>
        <w:rPr>
          <w:sz w:val="28"/>
          <w:szCs w:val="28"/>
        </w:rPr>
        <w:t xml:space="preserve">ворювання отримані в зоні АТО/ООС).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7.Розмір одноразової матеріальної допомоги на поховання загиблих учасників АТО/ООС визначається в межах 2 тис. грн.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Розмір одноразової матеріальної допомоги членам сімей, сім’ям загиблих учасників АТО/ООС під час проведення АТО/ООС визначається в межах 10 тис. грн.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</w:rPr>
        <w:t xml:space="preserve">. Підставою для здійснення виплати одноразової матеріальної допомоги є рішення виконавчого комітету Менської міської ради про надання одноразової матеріальної допомоги. 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</w:rPr>
        <w:t xml:space="preserve">. Матеріальна допомога може надаватися одній особі один раз на рік. Повторні звернення від осіб, які отримували матеріальну допомогу у минулому році розглядається у разі погіршення стану здоров’я, що підтверджується медичними документами.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. Виплату одноразової матеріальної допомоги здійснює міська рада за рахунок коштів, передбачених у  бюджеті Менської ОТГ за КТКВК 090412 “Інші видатки на соціальний захист населення“.</w:t>
      </w:r>
      <w:r/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</w:rPr>
        <w:t xml:space="preserve">. Допомога, що належала її одержувачу (постраждалому учаснику АТО) і залишилася неотриманою у зв’язку з його смертю, виплачується за заявою одного з членів сім’ї, за умови подання ним відповідної заяви впродовж шести місяців із дня смерті.</w:t>
      </w:r>
      <w:r/>
    </w:p>
    <w:p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</w:r>
      <w:r/>
    </w:p>
    <w:sectPr>
      <w:footnotePr/>
      <w:type w:val="nextPage"/>
      <w:pgSz w:w="11906" w:h="16838"/>
      <w:pgMar w:top="1134" w:right="850" w:bottom="709" w:left="1701" w:gutter="0" w:header="708" w:footer="708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4030504040204"/>
  </w:font>
  <w:font w:name="Segoe UI">
    <w:panose1 w:val="020B0502040504020204"/>
  </w:font>
  <w:font w:name="Arial">
    <w:panose1 w:val="020B0604020202020204"/>
  </w:font>
  <w:font w:name="Droid Sans">
    <w:panose1 w:val="020B0502000000000001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185"/>
      <w:suff w:val="nothing"/>
      <w:lvlText w:val=""/>
      <w:lvlJc w:val="left"/>
      <w:pPr>
        <w:ind w:left="432" w:hanging="430"/>
        <w:tabs>
          <w:tab w:val="left" w:pos="0" w:leader="none"/>
        </w:tabs>
      </w:pPr>
    </w:lvl>
    <w:lvl w:ilvl="1">
      <w:start w:val="1"/>
      <w:numFmt w:val="decimal"/>
      <w:suff w:val="nothing"/>
      <w:lvlText w:val=""/>
      <w:lvlJc w:val="left"/>
      <w:pPr>
        <w:ind w:left="576" w:hanging="574"/>
        <w:tabs>
          <w:tab w:val="left" w:pos="0" w:leader="none"/>
        </w:tabs>
      </w:pPr>
    </w:lvl>
    <w:lvl w:ilvl="2">
      <w:start w:val="1"/>
      <w:numFmt w:val="decimal"/>
      <w:suff w:val="nothing"/>
      <w:lvlText w:val=""/>
      <w:lvlJc w:val="left"/>
      <w:pPr>
        <w:ind w:left="720" w:hanging="718"/>
        <w:tabs>
          <w:tab w:val="left" w:pos="0" w:leader="none"/>
        </w:tabs>
      </w:pPr>
    </w:lvl>
    <w:lvl w:ilvl="3">
      <w:start w:val="1"/>
      <w:numFmt w:val="decimal"/>
      <w:suff w:val="nothing"/>
      <w:lvlText w:val=""/>
      <w:lvlJc w:val="left"/>
      <w:pPr>
        <w:ind w:left="864" w:hanging="862"/>
        <w:tabs>
          <w:tab w:val="left" w:pos="0" w:leader="none"/>
        </w:tabs>
      </w:pPr>
    </w:lvl>
    <w:lvl w:ilvl="4">
      <w:start w:val="1"/>
      <w:numFmt w:val="decimal"/>
      <w:suff w:val="nothing"/>
      <w:lvlText w:val=""/>
      <w:lvlJc w:val="left"/>
      <w:pPr>
        <w:ind w:left="1008" w:hanging="1006"/>
        <w:tabs>
          <w:tab w:val="left" w:pos="0" w:leader="none"/>
        </w:tabs>
      </w:pPr>
    </w:lvl>
    <w:lvl w:ilvl="5">
      <w:start w:val="1"/>
      <w:numFmt w:val="decimal"/>
      <w:suff w:val="nothing"/>
      <w:lvlText w:val=""/>
      <w:lvlJc w:val="left"/>
      <w:pPr>
        <w:ind w:left="1152" w:hanging="1150"/>
        <w:tabs>
          <w:tab w:val="left" w:pos="0" w:leader="none"/>
        </w:tabs>
      </w:pPr>
    </w:lvl>
    <w:lvl w:ilvl="6">
      <w:start w:val="1"/>
      <w:numFmt w:val="decimal"/>
      <w:suff w:val="nothing"/>
      <w:lvlText w:val=""/>
      <w:lvlJc w:val="left"/>
      <w:pPr>
        <w:ind w:left="1296" w:hanging="1294"/>
        <w:tabs>
          <w:tab w:val="left" w:pos="0" w:leader="none"/>
        </w:tabs>
      </w:pPr>
    </w:lvl>
    <w:lvl w:ilvl="7">
      <w:start w:val="1"/>
      <w:numFmt w:val="decimal"/>
      <w:suff w:val="nothing"/>
      <w:lvlText w:val=""/>
      <w:lvlJc w:val="left"/>
      <w:pPr>
        <w:ind w:left="1440" w:hanging="1438"/>
        <w:tabs>
          <w:tab w:val="left" w:pos="0" w:leader="none"/>
        </w:tabs>
      </w:pPr>
    </w:lvl>
    <w:lvl w:ilvl="8">
      <w:start w:val="1"/>
      <w:numFmt w:val="decimal"/>
      <w:suff w:val="nothing"/>
      <w:lvlText w:val=""/>
      <w:lvlJc w:val="left"/>
      <w:pPr>
        <w:ind w:left="1584" w:hanging="1582"/>
        <w:tabs>
          <w:tab w:val="left" w:pos="0" w:leader="none"/>
        </w:tabs>
      </w:p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decimal"/>
      <w:suff w:val="tab"/>
      <w:lvlText w:val="%2."/>
      <w:lvlJc w:val="left"/>
      <w:pPr>
        <w:ind w:left="1080" w:hanging="358"/>
        <w:tabs>
          <w:tab w:val="left" w:pos="1080" w:leader="none"/>
        </w:tabs>
      </w:pPr>
    </w:lvl>
    <w:lvl w:ilvl="2">
      <w:start w:val="4"/>
      <w:numFmt w:val="decimal"/>
      <w:suff w:val="tab"/>
      <w:lvlText w:val="%3."/>
      <w:lvlJc w:val="left"/>
      <w:pPr>
        <w:ind w:left="1440" w:hanging="358"/>
        <w:tabs>
          <w:tab w:val="left" w:pos="1440" w:leader="none"/>
        </w:tabs>
      </w:pPr>
      <w:rPr>
        <w:b w:val="false"/>
      </w:rPr>
    </w:lvl>
    <w:lvl w:ilvl="3">
      <w:start w:val="1"/>
      <w:numFmt w:val="decimal"/>
      <w:suff w:val="tab"/>
      <w:lvlText w:val="%4."/>
      <w:lvlJc w:val="left"/>
      <w:pPr>
        <w:ind w:left="1800" w:hanging="358"/>
        <w:tabs>
          <w:tab w:val="left" w:pos="1800" w:leader="none"/>
        </w:tabs>
      </w:pPr>
    </w:lvl>
    <w:lvl w:ilvl="4">
      <w:start w:val="1"/>
      <w:numFmt w:val="decimal"/>
      <w:suff w:val="tab"/>
      <w:lvlText w:val="%5."/>
      <w:lvlJc w:val="left"/>
      <w:pPr>
        <w:ind w:left="2160" w:hanging="358"/>
        <w:tabs>
          <w:tab w:val="left" w:pos="2160" w:leader="none"/>
        </w:tabs>
      </w:pPr>
    </w:lvl>
    <w:lvl w:ilvl="5">
      <w:start w:val="1"/>
      <w:numFmt w:val="decimal"/>
      <w:suff w:val="tab"/>
      <w:lvlText w:val="%6."/>
      <w:lvlJc w:val="left"/>
      <w:pPr>
        <w:ind w:left="2520" w:hanging="358"/>
        <w:tabs>
          <w:tab w:val="left" w:pos="2520" w:leader="none"/>
        </w:tabs>
      </w:pPr>
    </w:lvl>
    <w:lvl w:ilvl="6">
      <w:start w:val="1"/>
      <w:numFmt w:val="decimal"/>
      <w:suff w:val="tab"/>
      <w:lvlText w:val="%7."/>
      <w:lvlJc w:val="left"/>
      <w:pPr>
        <w:ind w:left="2880" w:hanging="358"/>
        <w:tabs>
          <w:tab w:val="left" w:pos="2880" w:leader="none"/>
        </w:tabs>
      </w:pPr>
    </w:lvl>
    <w:lvl w:ilvl="7">
      <w:start w:val="1"/>
      <w:numFmt w:val="decimal"/>
      <w:suff w:val="tab"/>
      <w:lvlText w:val="%8."/>
      <w:lvlJc w:val="left"/>
      <w:pPr>
        <w:ind w:left="3240" w:hanging="358"/>
        <w:tabs>
          <w:tab w:val="left" w:pos="3240" w:leader="none"/>
        </w:tabs>
      </w:pPr>
    </w:lvl>
    <w:lvl w:ilvl="8">
      <w:start w:val="1"/>
      <w:numFmt w:val="decimal"/>
      <w:suff w:val="tab"/>
      <w:lvlText w:val="%9."/>
      <w:lvlJc w:val="left"/>
      <w:pPr>
        <w:ind w:left="3600" w:hanging="358"/>
        <w:tabs>
          <w:tab w:val="left" w:pos="3600" w:leader="none"/>
        </w:tabs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ind w:left="1417" w:hanging="359"/>
      </w:pPr>
    </w:lvl>
    <w:lvl w:ilvl="1">
      <w:start w:val="1"/>
      <w:numFmt w:val="lowerLetter"/>
      <w:suff w:val="tab"/>
      <w:lvlText w:val="%2."/>
      <w:lvlJc w:val="left"/>
      <w:pPr>
        <w:ind w:left="2137" w:hanging="359"/>
      </w:pPr>
    </w:lvl>
    <w:lvl w:ilvl="2">
      <w:start w:val="1"/>
      <w:numFmt w:val="lowerRoman"/>
      <w:suff w:val="tab"/>
      <w:lvlText w:val="%3."/>
      <w:lvlJc w:val="right"/>
      <w:pPr>
        <w:ind w:left="2857" w:hanging="179"/>
      </w:pPr>
    </w:lvl>
    <w:lvl w:ilvl="3">
      <w:start w:val="1"/>
      <w:numFmt w:val="decimal"/>
      <w:suff w:val="tab"/>
      <w:lvlText w:val="%4."/>
      <w:lvlJc w:val="left"/>
      <w:pPr>
        <w:ind w:left="3577" w:hanging="359"/>
      </w:pPr>
    </w:lvl>
    <w:lvl w:ilvl="4">
      <w:start w:val="1"/>
      <w:numFmt w:val="lowerLetter"/>
      <w:suff w:val="tab"/>
      <w:lvlText w:val="%5."/>
      <w:lvlJc w:val="left"/>
      <w:pPr>
        <w:ind w:left="4297" w:hanging="359"/>
      </w:pPr>
    </w:lvl>
    <w:lvl w:ilvl="5">
      <w:start w:val="1"/>
      <w:numFmt w:val="lowerRoman"/>
      <w:suff w:val="tab"/>
      <w:lvlText w:val="%6."/>
      <w:lvlJc w:val="right"/>
      <w:pPr>
        <w:ind w:left="5017" w:hanging="179"/>
      </w:pPr>
    </w:lvl>
    <w:lvl w:ilvl="6">
      <w:start w:val="1"/>
      <w:numFmt w:val="decimal"/>
      <w:suff w:val="tab"/>
      <w:lvlText w:val="%7."/>
      <w:lvlJc w:val="left"/>
      <w:pPr>
        <w:ind w:left="5737" w:hanging="359"/>
      </w:pPr>
    </w:lvl>
    <w:lvl w:ilvl="7">
      <w:start w:val="1"/>
      <w:numFmt w:val="lowerLetter"/>
      <w:suff w:val="tab"/>
      <w:lvlText w:val="%8."/>
      <w:lvlJc w:val="left"/>
      <w:pPr>
        <w:ind w:left="6457" w:hanging="359"/>
      </w:pPr>
    </w:lvl>
    <w:lvl w:ilvl="8">
      <w:start w:val="1"/>
      <w:numFmt w:val="lowerRoman"/>
      <w:suff w:val="tab"/>
      <w:lvlText w:val="%9."/>
      <w:lvlJc w:val="right"/>
      <w:pPr>
        <w:ind w:left="7177" w:hanging="179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hanging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3">
    <w:name w:val="Title Char"/>
    <w:basedOn w:val="187"/>
    <w:link w:val="210"/>
    <w:uiPriority w:val="10"/>
    <w:rPr>
      <w:sz w:val="48"/>
      <w:szCs w:val="48"/>
    </w:rPr>
  </w:style>
  <w:style w:type="character" w:styleId="35">
    <w:name w:val="Subtitle Char"/>
    <w:basedOn w:val="187"/>
    <w:link w:val="212"/>
    <w:uiPriority w:val="11"/>
    <w:rPr>
      <w:sz w:val="24"/>
      <w:szCs w:val="24"/>
    </w:rPr>
  </w:style>
  <w:style w:type="character" w:styleId="37">
    <w:name w:val="Quote Char"/>
    <w:link w:val="214"/>
    <w:uiPriority w:val="29"/>
    <w:rPr>
      <w:i/>
    </w:rPr>
  </w:style>
  <w:style w:type="character" w:styleId="39">
    <w:name w:val="Intense Quote Char"/>
    <w:link w:val="216"/>
    <w:uiPriority w:val="30"/>
    <w:rPr>
      <w:i/>
    </w:rPr>
  </w:style>
  <w:style w:type="character" w:styleId="68">
    <w:name w:val="Footnote Text Char"/>
    <w:link w:val="245"/>
    <w:uiPriority w:val="99"/>
    <w:rPr>
      <w:sz w:val="18"/>
    </w:rPr>
  </w:style>
  <w:style w:type="paragraph" w:styleId="184" w:default="1">
    <w:name w:val="Normal"/>
    <w:qFormat/>
  </w:style>
  <w:style w:type="paragraph" w:styleId="185">
    <w:name w:val="Heading 1"/>
    <w:basedOn w:val="184"/>
    <w:next w:val="184"/>
    <w:rPr>
      <w:b/>
      <w:sz w:val="32"/>
    </w:rPr>
    <w:pPr>
      <w:numPr>
        <w:numId w:val="1"/>
      </w:numPr>
      <w:jc w:val="center"/>
      <w:keepNext/>
      <w:outlineLvl w:val="0"/>
    </w:pPr>
  </w:style>
  <w:style w:type="paragraph" w:styleId="186">
    <w:name w:val="Heading 7"/>
    <w:basedOn w:val="184"/>
    <w:next w:val="184"/>
    <w:rPr>
      <w:rFonts w:ascii="Calibri" w:hAnsi="Calibri"/>
      <w:sz w:val="24"/>
      <w:szCs w:val="24"/>
    </w:rPr>
    <w:pPr>
      <w:spacing w:after="60" w:before="240"/>
      <w:outlineLvl w:val="6"/>
    </w:pPr>
  </w:style>
  <w:style w:type="character" w:styleId="187" w:default="1">
    <w:name w:val="Default Paragraph Font"/>
    <w:uiPriority w:val="1"/>
    <w:semiHidden/>
    <w:unhideWhenUsed/>
  </w:style>
  <w:style w:type="table" w:styleId="18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89" w:default="1">
    <w:name w:val="No List"/>
    <w:uiPriority w:val="99"/>
    <w:semiHidden/>
    <w:unhideWhenUsed/>
  </w:style>
  <w:style w:type="paragraph" w:styleId="190" w:customStyle="1">
    <w:name w:val="Heading 1"/>
    <w:link w:val="19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91" w:customStyle="1">
    <w:name w:val="Heading 1 Char"/>
    <w:link w:val="190"/>
    <w:uiPriority w:val="9"/>
    <w:rPr>
      <w:rFonts w:ascii="Arial" w:hAnsi="Arial" w:cs="Arial" w:eastAsia="Arial"/>
      <w:sz w:val="40"/>
      <w:szCs w:val="40"/>
    </w:rPr>
  </w:style>
  <w:style w:type="paragraph" w:styleId="192" w:customStyle="1">
    <w:name w:val="Heading 2"/>
    <w:link w:val="19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93" w:customStyle="1">
    <w:name w:val="Heading 2 Char"/>
    <w:link w:val="192"/>
    <w:uiPriority w:val="9"/>
    <w:rPr>
      <w:rFonts w:ascii="Arial" w:hAnsi="Arial" w:cs="Arial" w:eastAsia="Arial"/>
      <w:sz w:val="34"/>
    </w:rPr>
  </w:style>
  <w:style w:type="paragraph" w:styleId="194" w:customStyle="1">
    <w:name w:val="Heading 3"/>
    <w:link w:val="19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95" w:customStyle="1">
    <w:name w:val="Heading 3 Char"/>
    <w:link w:val="194"/>
    <w:uiPriority w:val="9"/>
    <w:rPr>
      <w:rFonts w:ascii="Arial" w:hAnsi="Arial" w:cs="Arial" w:eastAsia="Arial"/>
      <w:sz w:val="30"/>
      <w:szCs w:val="30"/>
    </w:rPr>
  </w:style>
  <w:style w:type="paragraph" w:styleId="196" w:customStyle="1">
    <w:name w:val="Heading 4"/>
    <w:link w:val="19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97" w:customStyle="1">
    <w:name w:val="Heading 4 Char"/>
    <w:link w:val="196"/>
    <w:uiPriority w:val="9"/>
    <w:rPr>
      <w:rFonts w:ascii="Arial" w:hAnsi="Arial" w:cs="Arial" w:eastAsia="Arial"/>
      <w:b/>
      <w:bCs/>
      <w:sz w:val="26"/>
      <w:szCs w:val="26"/>
    </w:rPr>
  </w:style>
  <w:style w:type="paragraph" w:styleId="198" w:customStyle="1">
    <w:name w:val="Heading 5"/>
    <w:link w:val="19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199" w:customStyle="1">
    <w:name w:val="Heading 5 Char"/>
    <w:link w:val="198"/>
    <w:uiPriority w:val="9"/>
    <w:rPr>
      <w:rFonts w:ascii="Arial" w:hAnsi="Arial" w:cs="Arial" w:eastAsia="Arial"/>
      <w:b/>
      <w:bCs/>
      <w:sz w:val="24"/>
      <w:szCs w:val="24"/>
    </w:rPr>
  </w:style>
  <w:style w:type="paragraph" w:styleId="200" w:customStyle="1">
    <w:name w:val="Heading 6"/>
    <w:link w:val="201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character" w:styleId="201" w:customStyle="1">
    <w:name w:val="Heading 6 Char"/>
    <w:link w:val="200"/>
    <w:uiPriority w:val="9"/>
    <w:rPr>
      <w:rFonts w:ascii="Arial" w:hAnsi="Arial" w:cs="Arial" w:eastAsia="Arial"/>
      <w:b/>
      <w:bCs/>
      <w:sz w:val="22"/>
      <w:szCs w:val="22"/>
    </w:rPr>
  </w:style>
  <w:style w:type="paragraph" w:styleId="202" w:customStyle="1">
    <w:name w:val="Heading 7"/>
    <w:link w:val="203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character" w:styleId="203" w:customStyle="1">
    <w:name w:val="Heading 7 Char"/>
    <w:link w:val="20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04" w:customStyle="1">
    <w:name w:val="Heading 8"/>
    <w:link w:val="20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character" w:styleId="205" w:customStyle="1">
    <w:name w:val="Heading 8 Char"/>
    <w:link w:val="204"/>
    <w:uiPriority w:val="9"/>
    <w:rPr>
      <w:rFonts w:ascii="Arial" w:hAnsi="Arial" w:cs="Arial" w:eastAsia="Arial"/>
      <w:i/>
      <w:iCs/>
      <w:sz w:val="22"/>
      <w:szCs w:val="22"/>
    </w:rPr>
  </w:style>
  <w:style w:type="paragraph" w:styleId="206" w:customStyle="1">
    <w:name w:val="Heading 9"/>
    <w:link w:val="20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07" w:customStyle="1">
    <w:name w:val="Heading 9 Char"/>
    <w:link w:val="206"/>
    <w:uiPriority w:val="9"/>
    <w:rPr>
      <w:rFonts w:ascii="Arial" w:hAnsi="Arial" w:cs="Arial" w:eastAsia="Arial"/>
      <w:i/>
      <w:iCs/>
      <w:sz w:val="21"/>
      <w:szCs w:val="21"/>
    </w:rPr>
  </w:style>
  <w:style w:type="paragraph" w:styleId="208">
    <w:name w:val="List Paragraph"/>
    <w:qFormat/>
    <w:uiPriority w:val="34"/>
    <w:pPr>
      <w:contextualSpacing w:val="true"/>
      <w:ind w:left="720"/>
    </w:pPr>
  </w:style>
  <w:style w:type="paragraph" w:styleId="209">
    <w:name w:val="No Spacing"/>
    <w:qFormat/>
    <w:uiPriority w:val="1"/>
  </w:style>
  <w:style w:type="paragraph" w:styleId="210">
    <w:name w:val="Title"/>
    <w:link w:val="21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211" w:customStyle="1">
    <w:name w:val="Название Знак"/>
    <w:link w:val="210"/>
    <w:uiPriority w:val="10"/>
    <w:rPr>
      <w:sz w:val="48"/>
      <w:szCs w:val="48"/>
    </w:rPr>
  </w:style>
  <w:style w:type="paragraph" w:styleId="212">
    <w:name w:val="Subtitle"/>
    <w:link w:val="213"/>
    <w:qFormat/>
    <w:uiPriority w:val="11"/>
    <w:rPr>
      <w:sz w:val="24"/>
      <w:szCs w:val="24"/>
    </w:rPr>
    <w:pPr>
      <w:spacing w:after="200" w:before="200"/>
    </w:pPr>
  </w:style>
  <w:style w:type="character" w:styleId="213" w:customStyle="1">
    <w:name w:val="Подзаголовок Знак"/>
    <w:link w:val="212"/>
    <w:uiPriority w:val="11"/>
    <w:rPr>
      <w:sz w:val="24"/>
      <w:szCs w:val="24"/>
    </w:rPr>
  </w:style>
  <w:style w:type="paragraph" w:styleId="214">
    <w:name w:val="Quote"/>
    <w:link w:val="215"/>
    <w:qFormat/>
    <w:uiPriority w:val="29"/>
    <w:rPr>
      <w:i/>
    </w:rPr>
    <w:pPr>
      <w:ind w:left="720" w:right="720"/>
    </w:pPr>
  </w:style>
  <w:style w:type="character" w:styleId="215" w:customStyle="1">
    <w:name w:val="Цитата 2 Знак"/>
    <w:link w:val="214"/>
    <w:uiPriority w:val="29"/>
    <w:rPr>
      <w:i/>
    </w:rPr>
  </w:style>
  <w:style w:type="paragraph" w:styleId="216">
    <w:name w:val="Intense Quote"/>
    <w:link w:val="21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217" w:customStyle="1">
    <w:name w:val="Выделенная цитата Знак"/>
    <w:link w:val="216"/>
    <w:uiPriority w:val="30"/>
    <w:rPr>
      <w:i/>
    </w:rPr>
  </w:style>
  <w:style w:type="paragraph" w:styleId="218" w:customStyle="1">
    <w:name w:val="Header"/>
    <w:link w:val="2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219" w:customStyle="1">
    <w:name w:val="Header Char"/>
    <w:link w:val="218"/>
    <w:uiPriority w:val="99"/>
  </w:style>
  <w:style w:type="paragraph" w:styleId="220" w:customStyle="1">
    <w:name w:val="Footer"/>
    <w:link w:val="22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221" w:customStyle="1">
    <w:name w:val="Footer Char"/>
    <w:link w:val="220"/>
    <w:uiPriority w:val="99"/>
  </w:style>
  <w:style w:type="table" w:styleId="222">
    <w:name w:val="Table Grid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23" w:customStyle="1">
    <w:name w:val="Lined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224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225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226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227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228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229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23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23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23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23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23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23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23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237" w:customStyle="1">
    <w:name w:val="Bordered &amp; Lined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238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239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240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241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242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243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244">
    <w:name w:val="Hyperlink"/>
    <w:uiPriority w:val="99"/>
    <w:unhideWhenUsed/>
    <w:rPr>
      <w:color w:val="0000FF" w:themeColor="hyperlink"/>
      <w:u w:val="single"/>
    </w:rPr>
  </w:style>
  <w:style w:type="paragraph" w:styleId="245">
    <w:name w:val="footnote text"/>
    <w:link w:val="246"/>
    <w:uiPriority w:val="99"/>
    <w:semiHidden/>
    <w:unhideWhenUsed/>
    <w:rPr>
      <w:sz w:val="18"/>
    </w:rPr>
    <w:pPr>
      <w:spacing w:after="40"/>
    </w:pPr>
  </w:style>
  <w:style w:type="character" w:styleId="246" w:customStyle="1">
    <w:name w:val="Текст сноски Знак"/>
    <w:link w:val="245"/>
    <w:uiPriority w:val="99"/>
    <w:rPr>
      <w:sz w:val="18"/>
    </w:rPr>
  </w:style>
  <w:style w:type="character" w:styleId="247">
    <w:name w:val="footnote reference"/>
    <w:uiPriority w:val="99"/>
    <w:unhideWhenUsed/>
    <w:rPr>
      <w:vertAlign w:val="superscript"/>
    </w:rPr>
  </w:style>
  <w:style w:type="paragraph" w:styleId="248">
    <w:name w:val="toc 1"/>
    <w:uiPriority w:val="39"/>
    <w:unhideWhenUsed/>
    <w:pPr>
      <w:spacing w:after="57"/>
    </w:pPr>
  </w:style>
  <w:style w:type="paragraph" w:styleId="249">
    <w:name w:val="toc 2"/>
    <w:uiPriority w:val="39"/>
    <w:unhideWhenUsed/>
    <w:pPr>
      <w:ind w:left="283"/>
      <w:spacing w:after="57"/>
    </w:pPr>
  </w:style>
  <w:style w:type="paragraph" w:styleId="250">
    <w:name w:val="toc 3"/>
    <w:uiPriority w:val="39"/>
    <w:unhideWhenUsed/>
    <w:pPr>
      <w:ind w:left="567"/>
      <w:spacing w:after="57"/>
    </w:pPr>
  </w:style>
  <w:style w:type="paragraph" w:styleId="251">
    <w:name w:val="toc 4"/>
    <w:uiPriority w:val="39"/>
    <w:unhideWhenUsed/>
    <w:pPr>
      <w:ind w:left="850"/>
      <w:spacing w:after="57"/>
    </w:pPr>
  </w:style>
  <w:style w:type="paragraph" w:styleId="252">
    <w:name w:val="toc 5"/>
    <w:uiPriority w:val="39"/>
    <w:unhideWhenUsed/>
    <w:pPr>
      <w:ind w:left="1134"/>
      <w:spacing w:after="57"/>
    </w:pPr>
  </w:style>
  <w:style w:type="paragraph" w:styleId="253">
    <w:name w:val="toc 6"/>
    <w:uiPriority w:val="39"/>
    <w:unhideWhenUsed/>
    <w:pPr>
      <w:ind w:left="1417"/>
      <w:spacing w:after="57"/>
    </w:pPr>
  </w:style>
  <w:style w:type="paragraph" w:styleId="254">
    <w:name w:val="toc 7"/>
    <w:uiPriority w:val="39"/>
    <w:unhideWhenUsed/>
    <w:pPr>
      <w:ind w:left="1701"/>
      <w:spacing w:after="57"/>
    </w:pPr>
  </w:style>
  <w:style w:type="paragraph" w:styleId="255">
    <w:name w:val="toc 8"/>
    <w:uiPriority w:val="39"/>
    <w:unhideWhenUsed/>
    <w:pPr>
      <w:ind w:left="1984"/>
      <w:spacing w:after="57"/>
    </w:pPr>
  </w:style>
  <w:style w:type="paragraph" w:styleId="256">
    <w:name w:val="toc 9"/>
    <w:uiPriority w:val="39"/>
    <w:unhideWhenUsed/>
    <w:pPr>
      <w:ind w:left="2268"/>
      <w:spacing w:after="57"/>
    </w:pPr>
  </w:style>
  <w:style w:type="paragraph" w:styleId="257">
    <w:name w:val="TOC Heading"/>
    <w:uiPriority w:val="39"/>
    <w:unhideWhenUsed/>
  </w:style>
  <w:style w:type="character" w:styleId="258" w:customStyle="1">
    <w:name w:val="WW8Num1z0"/>
  </w:style>
  <w:style w:type="character" w:styleId="259" w:customStyle="1">
    <w:name w:val="WW8Num1z1"/>
  </w:style>
  <w:style w:type="character" w:styleId="260" w:customStyle="1">
    <w:name w:val="WW8Num1z2"/>
  </w:style>
  <w:style w:type="character" w:styleId="261" w:customStyle="1">
    <w:name w:val="WW8Num1z3"/>
  </w:style>
  <w:style w:type="character" w:styleId="262" w:customStyle="1">
    <w:name w:val="WW8Num1z4"/>
  </w:style>
  <w:style w:type="character" w:styleId="263" w:customStyle="1">
    <w:name w:val="WW8Num1z5"/>
  </w:style>
  <w:style w:type="character" w:styleId="264" w:customStyle="1">
    <w:name w:val="WW8Num1z6"/>
  </w:style>
  <w:style w:type="character" w:styleId="265" w:customStyle="1">
    <w:name w:val="WW8Num1z7"/>
  </w:style>
  <w:style w:type="character" w:styleId="266" w:customStyle="1">
    <w:name w:val="WW8Num1z8"/>
  </w:style>
  <w:style w:type="character" w:styleId="267" w:customStyle="1">
    <w:name w:val="Основной шрифт абзаца6"/>
  </w:style>
  <w:style w:type="character" w:styleId="268" w:customStyle="1">
    <w:name w:val="Основной шрифт абзаца5"/>
  </w:style>
  <w:style w:type="character" w:styleId="269" w:customStyle="1">
    <w:name w:val="Основной шрифт абзаца4"/>
  </w:style>
  <w:style w:type="character" w:styleId="270" w:customStyle="1">
    <w:name w:val="Основной шрифт абзаца3"/>
  </w:style>
  <w:style w:type="character" w:styleId="271" w:customStyle="1">
    <w:name w:val="Основной шрифт абзаца2"/>
  </w:style>
  <w:style w:type="character" w:styleId="272" w:customStyle="1">
    <w:name w:val="Absatz-Standardschriftart"/>
  </w:style>
  <w:style w:type="character" w:styleId="273" w:customStyle="1">
    <w:name w:val="Основной шрифт абзаца1"/>
  </w:style>
  <w:style w:type="character" w:styleId="274" w:customStyle="1">
    <w:name w:val="Заголовок 7 Знак"/>
    <w:rPr>
      <w:rFonts w:ascii="Calibri" w:hAnsi="Calibri" w:eastAsia="Times New Roman"/>
      <w:sz w:val="24"/>
      <w:szCs w:val="24"/>
      <w:lang w:val="uk-UA"/>
    </w:rPr>
  </w:style>
  <w:style w:type="character" w:styleId="275" w:customStyle="1">
    <w:name w:val="Символ нумерации"/>
  </w:style>
  <w:style w:type="paragraph" w:styleId="276" w:customStyle="1">
    <w:name w:val="Заголовок"/>
    <w:basedOn w:val="184"/>
    <w:next w:val="277"/>
    <w:rPr>
      <w:rFonts w:ascii="Arial" w:hAnsi="Arial" w:eastAsia="Droid Sans"/>
      <w:sz w:val="28"/>
      <w:szCs w:val="28"/>
    </w:rPr>
    <w:pPr>
      <w:keepNext/>
      <w:spacing w:after="120" w:before="240"/>
    </w:pPr>
  </w:style>
  <w:style w:type="paragraph" w:styleId="277">
    <w:name w:val="Body Text"/>
    <w:basedOn w:val="184"/>
    <w:pPr>
      <w:spacing w:after="120"/>
    </w:pPr>
  </w:style>
  <w:style w:type="paragraph" w:styleId="278">
    <w:name w:val="List"/>
    <w:basedOn w:val="277"/>
  </w:style>
  <w:style w:type="paragraph" w:styleId="279" w:customStyle="1">
    <w:name w:val="Название2"/>
    <w:basedOn w:val="184"/>
    <w:rPr>
      <w:i/>
      <w:iCs/>
      <w:sz w:val="24"/>
      <w:szCs w:val="24"/>
    </w:rPr>
    <w:pPr>
      <w:spacing w:after="120" w:before="120"/>
    </w:pPr>
  </w:style>
  <w:style w:type="paragraph" w:styleId="280" w:customStyle="1">
    <w:name w:val="Указатель2"/>
    <w:basedOn w:val="184"/>
  </w:style>
  <w:style w:type="paragraph" w:styleId="281" w:customStyle="1">
    <w:name w:val="Розділ"/>
    <w:basedOn w:val="184"/>
    <w:rPr>
      <w:i/>
      <w:iCs/>
      <w:sz w:val="24"/>
      <w:szCs w:val="24"/>
    </w:rPr>
    <w:pPr>
      <w:spacing w:after="120" w:before="120"/>
    </w:pPr>
  </w:style>
  <w:style w:type="paragraph" w:styleId="282" w:customStyle="1">
    <w:name w:val="Покажчик"/>
    <w:basedOn w:val="184"/>
  </w:style>
  <w:style w:type="paragraph" w:styleId="283" w:customStyle="1">
    <w:name w:val="Название объекта5"/>
    <w:basedOn w:val="184"/>
    <w:rPr>
      <w:i/>
      <w:iCs/>
      <w:sz w:val="24"/>
      <w:szCs w:val="24"/>
    </w:rPr>
    <w:pPr>
      <w:spacing w:after="120" w:before="120"/>
    </w:pPr>
  </w:style>
  <w:style w:type="paragraph" w:styleId="284" w:customStyle="1">
    <w:name w:val="Название объекта4"/>
    <w:basedOn w:val="184"/>
    <w:rPr>
      <w:i/>
      <w:iCs/>
      <w:sz w:val="24"/>
      <w:szCs w:val="24"/>
    </w:rPr>
    <w:pPr>
      <w:spacing w:after="120" w:before="120"/>
    </w:pPr>
  </w:style>
  <w:style w:type="paragraph" w:styleId="285" w:customStyle="1">
    <w:name w:val="Название объекта3"/>
    <w:basedOn w:val="184"/>
    <w:rPr>
      <w:i/>
      <w:iCs/>
      <w:sz w:val="24"/>
      <w:szCs w:val="24"/>
    </w:rPr>
    <w:pPr>
      <w:spacing w:after="120" w:before="120"/>
    </w:pPr>
  </w:style>
  <w:style w:type="paragraph" w:styleId="286" w:customStyle="1">
    <w:name w:val="Название объекта2"/>
    <w:basedOn w:val="184"/>
    <w:rPr>
      <w:i/>
      <w:iCs/>
      <w:sz w:val="24"/>
      <w:szCs w:val="24"/>
    </w:rPr>
    <w:pPr>
      <w:spacing w:after="120" w:before="120"/>
    </w:pPr>
  </w:style>
  <w:style w:type="paragraph" w:styleId="287" w:customStyle="1">
    <w:name w:val="Название1"/>
    <w:basedOn w:val="184"/>
    <w:rPr>
      <w:i/>
      <w:iCs/>
      <w:sz w:val="24"/>
      <w:szCs w:val="24"/>
    </w:rPr>
    <w:pPr>
      <w:spacing w:after="120" w:before="120"/>
    </w:pPr>
  </w:style>
  <w:style w:type="paragraph" w:styleId="288" w:customStyle="1">
    <w:name w:val="Указатель1"/>
    <w:basedOn w:val="184"/>
  </w:style>
  <w:style w:type="paragraph" w:styleId="289" w:customStyle="1">
    <w:name w:val="Название объекта1"/>
    <w:basedOn w:val="184"/>
    <w:rPr>
      <w:i/>
      <w:iCs/>
      <w:sz w:val="24"/>
      <w:szCs w:val="24"/>
    </w:rPr>
    <w:pPr>
      <w:spacing w:after="120" w:before="120"/>
    </w:pPr>
  </w:style>
  <w:style w:type="paragraph" w:styleId="290" w:customStyle="1">
    <w:name w:val="WW-???????"/>
    <w:rPr>
      <w:color w:val="000000"/>
      <w:szCs w:val="24"/>
      <w:lang w:val="en-US" w:bidi="hi-IN" w:eastAsia="hi-IN"/>
    </w:rPr>
    <w:pPr>
      <w:widowControl w:val="off"/>
    </w:pPr>
  </w:style>
  <w:style w:type="paragraph" w:styleId="291">
    <w:name w:val="Normal (Web)"/>
    <w:basedOn w:val="184"/>
    <w:uiPriority w:val="99"/>
    <w:rPr>
      <w:sz w:val="24"/>
      <w:szCs w:val="24"/>
    </w:rPr>
    <w:pPr>
      <w:spacing w:after="280" w:before="280"/>
    </w:pPr>
  </w:style>
  <w:style w:type="paragraph" w:styleId="292">
    <w:name w:val="Body Text Indent"/>
    <w:basedOn w:val="184"/>
    <w:rPr>
      <w:sz w:val="28"/>
      <w:szCs w:val="20"/>
      <w:lang w:val="uk-UA"/>
    </w:rPr>
    <w:pPr>
      <w:ind w:firstLine="567"/>
      <w:jc w:val="both"/>
    </w:pPr>
  </w:style>
  <w:style w:type="paragraph" w:styleId="293" w:customStyle="1">
    <w:name w:val="Вміст таблиці"/>
    <w:basedOn w:val="184"/>
  </w:style>
  <w:style w:type="paragraph" w:styleId="294" w:customStyle="1">
    <w:name w:val="Заголовок таблиці"/>
    <w:basedOn w:val="293"/>
    <w:rPr>
      <w:b/>
      <w:bCs/>
    </w:rPr>
    <w:pPr>
      <w:jc w:val="center"/>
    </w:pPr>
  </w:style>
  <w:style w:type="paragraph" w:styleId="295" w:customStyle="1">
    <w:name w:val="Содержимое таблицы"/>
    <w:basedOn w:val="184"/>
  </w:style>
  <w:style w:type="paragraph" w:styleId="296" w:customStyle="1">
    <w:name w:val="Заголовок таблицы"/>
    <w:basedOn w:val="295"/>
    <w:rPr>
      <w:b/>
      <w:bCs/>
    </w:rPr>
    <w:pPr>
      <w:jc w:val="center"/>
    </w:pPr>
  </w:style>
  <w:style w:type="paragraph" w:styleId="297">
    <w:name w:val="Balloon Text"/>
    <w:basedOn w:val="184"/>
    <w:link w:val="298"/>
    <w:semiHidden/>
    <w:rPr>
      <w:rFonts w:ascii="Segoe UI" w:hAnsi="Segoe UI"/>
      <w:sz w:val="18"/>
      <w:szCs w:val="18"/>
      <w:lang w:val="en-US"/>
    </w:rPr>
  </w:style>
  <w:style w:type="character" w:styleId="298" w:customStyle="1">
    <w:name w:val="Текст выноски Знак"/>
    <w:link w:val="297"/>
    <w:semiHidden/>
    <w:rPr>
      <w:rFonts w:ascii="Segoe UI" w:hAnsi="Segoe UI"/>
      <w:sz w:val="18"/>
      <w:szCs w:val="18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wmf"/><Relationship Id="rId9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ONLYOFFICE/5.2.8.24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