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752474"/>
                <wp:effectExtent l="19049" t="0" r="9524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8pt;height:59.2pt;" strokeweight="0.75pt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УКРАЇНА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МЕНСЬКА МІСЬКА РАДА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Менського району Чернігівської області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(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тридцять шоста сесія сьомого скликання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)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ПРОЄ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КТ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 РІШЕННЯ</w:t>
      </w:r>
      <w:r/>
    </w:p>
    <w:p>
      <w:pPr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lineRule="auto" w:line="240" w:after="0"/>
        <w:tabs>
          <w:tab w:val="left" w:pos="453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грудня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року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0"/>
          <w:szCs w:val="20"/>
          <w:lang w:eastAsia="ru-RU"/>
        </w:rPr>
      </w:pPr>
      <w:r>
        <w:rPr>
          <w:rFonts w:ascii="Times New Roman" w:hAnsi="Times New Roman" w:eastAsia="Batang"/>
          <w:sz w:val="20"/>
          <w:szCs w:val="20"/>
          <w:lang w:eastAsia="ru-RU"/>
        </w:rPr>
      </w:r>
      <w:r/>
    </w:p>
    <w:p>
      <w:pPr>
        <w:ind w:left="0" w:right="5104" w:hanging="0"/>
        <w:keepNext/>
        <w:spacing w:lineRule="auto" w:line="240" w:after="0"/>
        <w:rPr>
          <w:rFonts w:ascii="Times New Roman" w:hAnsi="Times New Roman"/>
          <w:b/>
          <w:bCs/>
          <w:iCs/>
          <w:sz w:val="28"/>
          <w:szCs w:val="28"/>
          <w:lang w:eastAsia="uk-UA"/>
        </w:rPr>
        <w:outlineLvl w:val="1"/>
      </w:pPr>
      <w:r/>
      <w:bookmarkStart w:id="0" w:name="_Toc502337417"/>
      <w:r>
        <w:rPr>
          <w:rFonts w:ascii="Times New Roman" w:hAnsi="Times New Roman" w:eastAsia="Batang"/>
          <w:b/>
          <w:bCs/>
          <w:iCs/>
          <w:sz w:val="28"/>
          <w:szCs w:val="28"/>
          <w:lang w:eastAsia="ru-RU"/>
        </w:rPr>
        <w:t xml:space="preserve">Про</w:t>
      </w:r>
      <w:r>
        <w:rPr>
          <w:rFonts w:ascii="Times New Roman" w:hAnsi="Times New Roman" w:eastAsia="Batang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b/>
          <w:bCs/>
          <w:iCs/>
          <w:sz w:val="28"/>
          <w:szCs w:val="28"/>
          <w:lang w:eastAsia="ru-RU"/>
        </w:rPr>
        <w:t xml:space="preserve">затвердження</w:t>
      </w:r>
      <w:r>
        <w:rPr>
          <w:rFonts w:ascii="Times New Roman" w:hAnsi="Times New Roman" w:eastAsia="Batang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Програми організації харчування учнів у закладах загальної середньої освіти Менської 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міської ради на 2020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-2022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 р</w:t>
      </w:r>
      <w:bookmarkEnd w:id="0"/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о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к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и</w:t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Відповідно до Законів України «Про освіту», «Про загальну середню освіту», «Про охорону дитинства»,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державну соціальну допомогу малозабезпеченим сім’ям»,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«Про особливості державної політики із забезпечення державного суверенітету над тимчасово окупованими територіями в Донецькій та Луганській областях»</w:t>
      </w:r>
      <w:r>
        <w:rPr>
          <w:rFonts w:ascii="Times New Roman" w:hAnsi="Times New Roman"/>
          <w:sz w:val="28"/>
          <w:szCs w:val="28"/>
          <w:lang w:eastAsia="ru-RU"/>
        </w:rPr>
        <w:t xml:space="preserve">, постанов Кабінету Міністрів України від 19.06.2002 № 856 «Про організацію харчування окремих категорій учнів у загальноосвітніх навчальних закладах», від 02.02.2011 № 116 «Про затвердження Порядку надання послуг з харчування дітей у дошкільних, учнів у за</w:t>
      </w:r>
      <w:r>
        <w:rPr>
          <w:rFonts w:ascii="Times New Roman" w:hAnsi="Times New Roman"/>
          <w:sz w:val="28"/>
          <w:szCs w:val="28"/>
          <w:lang w:eastAsia="ru-RU"/>
        </w:rPr>
        <w:t xml:space="preserve">гальноосвітніх та професійно – технічних навчальних закладах, операції з надання яких звільняються від обкладення податком на додану вартість», від 22.11.2004 № 1591 «Про затвердження норм харчування у навчальних та оздоровчих закладах»,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у зв'язку із змінами умов харчування учнів загальноосвітніх навчальних закладів відповідно до Закону України  «Про внесення змін до деяких законодавчих актів України»,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постанови КМУ №16 від 18.01.2016 р. «Про внесення змін до Порядку надання послуг з харчування дітей у дошкільних, учнів у </w:t>
      </w:r>
      <w:r>
        <w:rPr>
          <w:rFonts w:ascii="Times New Roman" w:hAnsi="Times New Roman"/>
          <w:spacing w:val="0"/>
          <w:sz w:val="28"/>
          <w:szCs w:val="28"/>
          <w:lang w:eastAsia="ru-RU"/>
        </w:rPr>
        <w:t xml:space="preserve">загальноосвітніх та професійно-технічних закладах, операції з надання яких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звільняються від обкладення податком на додану вартість»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та з метою збереження здоров’я дітей та забезпечення повноцінного і раціонального харчування учнів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відповідно до рішення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двадцятої сесії сьомого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скликання від 12 вересня 2018 року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№ 317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«Про внесення змін до рішень десятої сесії сьомого скликання від 31 січня 2018 року «Про розмір плати за харчування в закладах дошкільної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та «Про порядок організації харчування учнів 1-11 класів закладів загальної середньої освіти у 2018 році»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керуючись пп.22 п.1 ст.26 Закону України «Про місцеве самоврядування в Україні»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Менськ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міськ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  рада</w:t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ВИРІШИЛА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:</w:t>
      </w:r>
      <w:r/>
    </w:p>
    <w:p>
      <w:pPr>
        <w:numPr>
          <w:ilvl w:val="0"/>
          <w:numId w:val="1"/>
        </w:numPr>
        <w:ind w:left="0" w:right="0" w:hanging="0"/>
        <w:jc w:val="both"/>
        <w:spacing w:lineRule="auto" w:line="240" w:after="0"/>
        <w:shd w:val="clear" w:color="auto" w:fill="FFFFFF"/>
        <w:tabs>
          <w:tab w:val="left" w:pos="567" w:leader="none"/>
        </w:tabs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вердити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Програму організації харчування учнів у закладах загальної середньої осві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ти Менської міської ради на 2020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-2022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р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згідно додатку  до даного рішення, що додається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</w:t>
      </w:r>
      <w:r/>
    </w:p>
    <w:p>
      <w:pPr>
        <w:numPr>
          <w:ilvl w:val="0"/>
          <w:numId w:val="1"/>
        </w:numPr>
        <w:ind w:left="0" w:right="0" w:hanging="0"/>
        <w:jc w:val="both"/>
        <w:spacing w:lineRule="auto" w:line="240" w:after="0"/>
        <w:shd w:val="clear" w:color="auto" w:fill="FFFFFF"/>
        <w:tabs>
          <w:tab w:val="left" w:pos="567" w:leader="none"/>
        </w:tabs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Відділу освіти </w:t>
      </w: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забезпечити організоване виконання заходів Програми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</w:t>
      </w:r>
      <w:r/>
    </w:p>
    <w:p>
      <w:pPr>
        <w:numPr>
          <w:ilvl w:val="0"/>
          <w:numId w:val="1"/>
        </w:numPr>
        <w:ind w:left="0" w:right="0" w:hanging="0"/>
        <w:jc w:val="both"/>
        <w:spacing w:lineRule="auto" w:line="240" w:after="0"/>
        <w:shd w:val="clear" w:color="auto" w:fill="FFFFFF"/>
        <w:tabs>
          <w:tab w:val="left" w:pos="567" w:leader="none"/>
        </w:tabs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Вишняк Т.С., заступника голови з питань діяльності виконавчого комітету Менської міської ради.</w:t>
      </w:r>
      <w:r/>
    </w:p>
    <w:p>
      <w:pPr>
        <w:spacing w:lineRule="auto" w:line="240" w:after="0"/>
        <w:tabs>
          <w:tab w:val="left" w:pos="6237" w:leader="none"/>
        </w:tabs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/>
    </w:p>
    <w:p>
      <w:pPr>
        <w:spacing w:lineRule="auto" w:line="240" w:after="0"/>
        <w:tabs>
          <w:tab w:val="left" w:pos="6237" w:leader="none"/>
        </w:tabs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/>
    </w:p>
    <w:p>
      <w:pPr>
        <w:spacing w:lineRule="auto" w:line="240" w:after="0"/>
        <w:tabs>
          <w:tab w:val="left" w:pos="6237" w:leader="none"/>
        </w:tabs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Міськи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й голова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ab/>
        <w:t xml:space="preserve">Г.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А.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Примаков</w:t>
      </w:r>
      <w:r/>
    </w:p>
    <w:p>
      <w:pPr>
        <w:ind w:left="5387"/>
        <w:spacing w:lineRule="auto" w:line="240" w:after="0"/>
        <w:rPr>
          <w:rFonts w:ascii="Times New Roman" w:hAnsi="Times New Roman" w:eastAsia="Times New Roman"/>
          <w:sz w:val="24"/>
          <w:szCs w:val="28"/>
          <w:lang w:eastAsia="ru-RU"/>
        </w:rPr>
      </w:pPr>
      <w:r>
        <w:rPr>
          <w:rFonts w:ascii="Times New Roman" w:hAnsi="Times New Roman" w:eastAsia="Batang"/>
          <w:bCs/>
          <w:iCs/>
          <w:szCs w:val="28"/>
          <w:lang w:eastAsia="ru-RU"/>
        </w:rPr>
        <w:br w:type="page"/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До</w:t>
      </w:r>
      <w:bookmarkStart w:id="1" w:name="_GoBack"/>
      <w:r/>
      <w:bookmarkEnd w:id="1"/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даток  до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проє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кту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рішення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36 сесії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</w:t>
      </w:r>
      <w:r>
        <w:rPr>
          <w:rStyle w:val="189"/>
          <w:rFonts w:ascii="Times New Roman" w:hAnsi="Times New Roman"/>
          <w:sz w:val="24"/>
          <w:szCs w:val="24"/>
        </w:rPr>
        <w:t xml:space="preserve">Менської </w:t>
      </w:r>
      <w:r>
        <w:rPr>
          <w:rFonts w:ascii="Times New Roman" w:hAnsi="Times New Roman"/>
          <w:sz w:val="24"/>
          <w:szCs w:val="24"/>
        </w:rPr>
        <w:t xml:space="preserve">міської </w:t>
      </w:r>
      <w:r>
        <w:rPr>
          <w:rFonts w:ascii="Times New Roman" w:hAnsi="Times New Roman"/>
          <w:sz w:val="24"/>
          <w:szCs w:val="24"/>
        </w:rPr>
        <w:t xml:space="preserve">ради </w:t>
      </w:r>
      <w:r>
        <w:rPr>
          <w:rFonts w:ascii="Times New Roman" w:hAnsi="Times New Roman"/>
          <w:sz w:val="24"/>
          <w:szCs w:val="24"/>
        </w:rPr>
        <w:t xml:space="preserve">7 скликання від 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.1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.2019 №____ 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«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Про затвердження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Програми організації харчування учнів у закладах загальної середньої осві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ти Менської міської ради на 2020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-2022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р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о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к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и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»</w:t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/>
          <w:b/>
          <w:sz w:val="56"/>
          <w:szCs w:val="56"/>
          <w:lang w:eastAsia="ru-RU"/>
        </w:rPr>
      </w:pPr>
      <w:r>
        <w:rPr>
          <w:rFonts w:ascii="Times New Roman" w:hAnsi="Times New Roman"/>
          <w:b/>
          <w:sz w:val="56"/>
          <w:szCs w:val="56"/>
          <w:lang w:eastAsia="ru-RU"/>
        </w:rPr>
        <w:t xml:space="preserve">Програма </w:t>
      </w:r>
      <w:r/>
    </w:p>
    <w:p>
      <w:pPr>
        <w:jc w:val="center"/>
        <w:spacing w:lineRule="auto" w:line="240" w:after="0"/>
        <w:rPr>
          <w:rFonts w:ascii="Times New Roman" w:hAnsi="Times New Roman"/>
          <w:b/>
          <w:sz w:val="56"/>
          <w:szCs w:val="56"/>
          <w:lang w:eastAsia="ru-RU"/>
        </w:rPr>
      </w:pPr>
      <w:r>
        <w:rPr>
          <w:rFonts w:ascii="Times New Roman" w:hAnsi="Times New Roman"/>
          <w:b/>
          <w:sz w:val="56"/>
          <w:szCs w:val="56"/>
          <w:lang w:eastAsia="ru-RU"/>
        </w:rPr>
        <w:t xml:space="preserve">організації харчування </w:t>
      </w:r>
      <w:r>
        <w:rPr>
          <w:rFonts w:ascii="Times New Roman" w:hAnsi="Times New Roman"/>
          <w:b/>
          <w:sz w:val="56"/>
          <w:szCs w:val="56"/>
          <w:lang w:eastAsia="ru-RU"/>
        </w:rPr>
        <w:t xml:space="preserve">учнів </w:t>
      </w:r>
      <w:r>
        <w:rPr>
          <w:rFonts w:ascii="Times New Roman" w:hAnsi="Times New Roman"/>
          <w:b/>
          <w:sz w:val="56"/>
          <w:szCs w:val="56"/>
          <w:lang w:eastAsia="ru-RU"/>
        </w:rPr>
        <w:t xml:space="preserve">у закладах загальної </w:t>
      </w:r>
      <w:r/>
    </w:p>
    <w:p>
      <w:pPr>
        <w:jc w:val="center"/>
        <w:spacing w:lineRule="auto" w:line="240" w:after="0"/>
        <w:rPr>
          <w:rFonts w:ascii="Times New Roman" w:hAnsi="Times New Roman"/>
          <w:b/>
          <w:sz w:val="56"/>
          <w:szCs w:val="56"/>
          <w:lang w:eastAsia="ru-RU"/>
        </w:rPr>
      </w:pPr>
      <w:r>
        <w:rPr>
          <w:rFonts w:ascii="Times New Roman" w:hAnsi="Times New Roman"/>
          <w:b/>
          <w:sz w:val="56"/>
          <w:szCs w:val="56"/>
          <w:lang w:eastAsia="ru-RU"/>
        </w:rPr>
        <w:t xml:space="preserve">середньої освіти </w:t>
      </w:r>
      <w:r/>
    </w:p>
    <w:p>
      <w:pPr>
        <w:jc w:val="center"/>
        <w:spacing w:lineRule="auto" w:line="240" w:after="0"/>
        <w:rPr>
          <w:rFonts w:ascii="Times New Roman" w:hAnsi="Times New Roman"/>
          <w:b/>
          <w:sz w:val="56"/>
          <w:szCs w:val="56"/>
          <w:lang w:eastAsia="ru-RU"/>
        </w:rPr>
      </w:pPr>
      <w:r>
        <w:rPr>
          <w:rFonts w:ascii="Times New Roman" w:hAnsi="Times New Roman"/>
          <w:b/>
          <w:sz w:val="56"/>
          <w:szCs w:val="56"/>
          <w:lang w:eastAsia="ru-RU"/>
        </w:rPr>
        <w:t xml:space="preserve">Менської міської ради </w:t>
      </w:r>
      <w:r/>
    </w:p>
    <w:p>
      <w:pPr>
        <w:jc w:val="center"/>
        <w:spacing w:lineRule="auto" w:line="240" w:after="0"/>
        <w:rPr>
          <w:rFonts w:ascii="Times New Roman" w:hAnsi="Times New Roman"/>
          <w:b/>
          <w:sz w:val="56"/>
          <w:szCs w:val="56"/>
          <w:lang w:eastAsia="ru-RU"/>
        </w:rPr>
      </w:pPr>
      <w:r>
        <w:rPr>
          <w:rFonts w:ascii="Times New Roman" w:hAnsi="Times New Roman"/>
          <w:b/>
          <w:sz w:val="56"/>
          <w:szCs w:val="56"/>
          <w:lang w:eastAsia="ru-RU"/>
        </w:rPr>
        <w:t xml:space="preserve">на 2020</w:t>
      </w:r>
      <w:r>
        <w:rPr>
          <w:rFonts w:ascii="Times New Roman" w:hAnsi="Times New Roman"/>
          <w:b/>
          <w:sz w:val="56"/>
          <w:szCs w:val="56"/>
          <w:lang w:eastAsia="ru-RU"/>
        </w:rPr>
        <w:t xml:space="preserve">-2022</w:t>
      </w:r>
      <w:r>
        <w:rPr>
          <w:rFonts w:ascii="Times New Roman" w:hAnsi="Times New Roman"/>
          <w:b/>
          <w:sz w:val="56"/>
          <w:szCs w:val="56"/>
          <w:lang w:eastAsia="ru-RU"/>
        </w:rPr>
        <w:t xml:space="preserve"> р</w:t>
      </w:r>
      <w:r>
        <w:rPr>
          <w:rFonts w:ascii="Times New Roman" w:hAnsi="Times New Roman"/>
          <w:b/>
          <w:sz w:val="56"/>
          <w:szCs w:val="56"/>
          <w:lang w:eastAsia="ru-RU"/>
        </w:rPr>
        <w:t xml:space="preserve">о</w:t>
      </w:r>
      <w:r>
        <w:rPr>
          <w:rFonts w:ascii="Times New Roman" w:hAnsi="Times New Roman"/>
          <w:b/>
          <w:sz w:val="56"/>
          <w:szCs w:val="56"/>
          <w:lang w:eastAsia="ru-RU"/>
        </w:rPr>
        <w:t xml:space="preserve">к</w:t>
      </w:r>
      <w:r>
        <w:rPr>
          <w:rFonts w:ascii="Times New Roman" w:hAnsi="Times New Roman"/>
          <w:b/>
          <w:sz w:val="56"/>
          <w:szCs w:val="56"/>
          <w:lang w:eastAsia="ru-RU"/>
        </w:rPr>
        <w:t xml:space="preserve">и</w:t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Мена</w:t>
      </w:r>
      <w:r>
        <w:rPr>
          <w:rFonts w:ascii="Times New Roman" w:hAnsi="Times New Roman"/>
          <w:sz w:val="28"/>
          <w:szCs w:val="24"/>
          <w:lang w:eastAsia="ru-RU"/>
        </w:rPr>
        <w:t xml:space="preserve"> 2019</w:t>
      </w:r>
      <w:r/>
    </w:p>
    <w:p>
      <w:pPr>
        <w:jc w:val="center"/>
        <w:spacing w:lineRule="auto" w:line="240"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І. ПАСПОРТ ПРОГРАМИ</w:t>
      </w:r>
      <w:r/>
    </w:p>
    <w:tbl>
      <w:tblPr>
        <w:tblW w:w="9602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3072"/>
        <w:gridCol w:w="1830"/>
        <w:gridCol w:w="1830"/>
        <w:gridCol w:w="1830"/>
      </w:tblGrid>
      <w:tr>
        <w:trPr>
          <w:jc w:val="center"/>
        </w:trPr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/>
          </w:p>
        </w:tc>
        <w:tc>
          <w:tcPr>
            <w:tcW w:w="3072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 програми</w:t>
            </w:r>
            <w:r/>
          </w:p>
        </w:tc>
        <w:tc>
          <w:tcPr>
            <w:gridSpan w:val="3"/>
            <w:tcW w:w="549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Програма організації харчування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учнів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закладах загальної середньої осві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 Менської міської ради на 2020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-2022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</w:t>
            </w:r>
            <w:r/>
          </w:p>
        </w:tc>
      </w:tr>
      <w:tr>
        <w:trPr>
          <w:jc w:val="center"/>
        </w:trPr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tcW w:w="3072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Ініціатор розроблення програми</w:t>
            </w:r>
            <w:r/>
          </w:p>
        </w:tc>
        <w:tc>
          <w:tcPr>
            <w:gridSpan w:val="3"/>
            <w:tcW w:w="549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/>
          </w:p>
        </w:tc>
      </w:tr>
      <w:tr>
        <w:trPr>
          <w:jc w:val="center"/>
        </w:trPr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tcW w:w="3072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Дата, номер і назва документа органу виконавчої влади про розроблення програми</w:t>
            </w:r>
            <w:r/>
          </w:p>
        </w:tc>
        <w:tc>
          <w:tcPr>
            <w:gridSpan w:val="3"/>
            <w:tcW w:w="5490" w:type="dxa"/>
            <w:textDirection w:val="lrTb"/>
            <w:noWrap w:val="false"/>
          </w:tcPr>
          <w:p>
            <w:pPr>
              <w:ind w:firstLine="24"/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Закони України «Про освіту», «Про загальну середню освіту», «Про охорону дитинства»,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 державну соціальну допомогу малозабезпеченим сім’ям»,</w:t>
            </w: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«Про особливості державної політики із забезпечення державного суверенітету над тимчасово окупованими територіями в Донецькій та Луганській областях»,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«Про місцеве самоврядування в Україні,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«Про внесення змін до деяких законодавчих актів України»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останов Кабінету Міністрів України від 19.06.2002  № 856 «Про організацію харчування окремих категорій учнів у загальноосвітніх навчальних закладах», від 02.02.2011 № 116 «Про затвердження Порядку надання послуг з харчування дітей у дошкільних, учнів у зага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льноосвітніх та професійно – технічних навчальних закладах, операції з надання яких звільняються від обкладення податком на додану вартість», від 22.11.2004 № 1591 «Про затвердження норм харчування у навчальних та оздоровчих закладах», постанови КМУ №16 від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18.01.2016 р. «Про внесення змін до Порядку надання послуг з харчування дітей у дошкільних, учнів у 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загальноосвітніх та професійно-технічних закладах, операції з надання яких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звільняються від обкладення податком на додану вартість», наказ Міністерства охорони здоров’я України, Міністерства освіти і науки України від 01.06.2005 № 242/329 «Про затвердження порядку організації харчування дітей у навчальних та оздоровчих закладах»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 рішення двадцятої сесії сьомого скликання від 12 вересня 2018 року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 № 317«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«Про внесення змін до рішень десятої сесії сьомого скликання від 31 січня 2018 року «Про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розмір плати за харчування в закладах дошкільної освіти» та «Про порядок організації харчування учнів 1-11 класів закладів загальної середньої освіти у 2018 році»»</w:t>
            </w:r>
            <w:r/>
          </w:p>
        </w:tc>
      </w:tr>
      <w:tr>
        <w:trPr>
          <w:jc w:val="center"/>
        </w:trPr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</w:t>
            </w:r>
            <w:r/>
          </w:p>
        </w:tc>
        <w:tc>
          <w:tcPr>
            <w:tcW w:w="3072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Розробник програми</w:t>
            </w:r>
            <w:r/>
          </w:p>
        </w:tc>
        <w:tc>
          <w:tcPr>
            <w:gridSpan w:val="3"/>
            <w:tcW w:w="549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/>
          </w:p>
        </w:tc>
      </w:tr>
      <w:tr>
        <w:trPr>
          <w:jc w:val="center"/>
        </w:trPr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</w:t>
            </w:r>
            <w:r/>
          </w:p>
        </w:tc>
        <w:tc>
          <w:tcPr>
            <w:tcW w:w="3072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Відповідальний виконавець програми</w:t>
            </w:r>
            <w:r/>
          </w:p>
        </w:tc>
        <w:tc>
          <w:tcPr>
            <w:gridSpan w:val="3"/>
            <w:tcW w:w="549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/>
          </w:p>
        </w:tc>
      </w:tr>
      <w:tr>
        <w:trPr>
          <w:jc w:val="center"/>
          <w:trHeight w:val="842"/>
        </w:trPr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</w:t>
            </w:r>
            <w:r/>
          </w:p>
        </w:tc>
        <w:tc>
          <w:tcPr>
            <w:tcW w:w="3072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Учасники програми</w:t>
            </w:r>
            <w:r/>
          </w:p>
        </w:tc>
        <w:tc>
          <w:tcPr>
            <w:gridSpan w:val="3"/>
            <w:tcW w:w="549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освіти, заклади загальної середньої освіти Менської міської ради, фінансове управління Менської міської ради  </w:t>
            </w:r>
            <w:r/>
          </w:p>
        </w:tc>
      </w:tr>
      <w:tr>
        <w:trPr>
          <w:jc w:val="center"/>
          <w:trHeight w:val="842"/>
        </w:trPr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</w:t>
            </w:r>
            <w:r/>
          </w:p>
        </w:tc>
        <w:tc>
          <w:tcPr>
            <w:tcW w:w="3072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Дія Програми</w:t>
            </w:r>
            <w:r/>
          </w:p>
        </w:tc>
        <w:tc>
          <w:tcPr>
            <w:gridSpan w:val="3"/>
            <w:tcW w:w="549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Дія програми поширюється на територію населених пунктів, які увійшли до складу Менської об’єднаної територіальної громади</w:t>
            </w:r>
            <w:r/>
          </w:p>
        </w:tc>
      </w:tr>
      <w:tr>
        <w:trPr>
          <w:jc w:val="center"/>
        </w:trPr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8.</w:t>
            </w:r>
            <w:r/>
          </w:p>
        </w:tc>
        <w:tc>
          <w:tcPr>
            <w:tcW w:w="3072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Термін реалізації Програми </w:t>
            </w:r>
            <w:r/>
          </w:p>
        </w:tc>
        <w:tc>
          <w:tcPr>
            <w:gridSpan w:val="3"/>
            <w:tcW w:w="549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-2022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</w:t>
            </w:r>
            <w:r/>
          </w:p>
        </w:tc>
      </w:tr>
      <w:tr>
        <w:trPr>
          <w:jc w:val="center"/>
        </w:trPr>
        <w:tc>
          <w:tcP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</w:t>
            </w:r>
            <w:r/>
          </w:p>
        </w:tc>
        <w:tc>
          <w:tcPr>
            <w:tcW w:w="3072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Загальний орієнтовний обсяг фінансових ресурсів, необхідних для реалізації програми, всього: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тому числі: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рік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рі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рік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jc w:val="center"/>
        </w:trPr>
        <w:tc>
          <w:tcPr>
            <w:tcW w:w="1040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307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18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2 558 385, 00 </w:t>
            </w:r>
            <w:r/>
          </w:p>
        </w:tc>
        <w:tc>
          <w:tcPr>
            <w:tcW w:w="18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2 899 503, 00</w:t>
            </w:r>
            <w:r/>
          </w:p>
        </w:tc>
        <w:tc>
          <w:tcPr>
            <w:tcW w:w="18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3 070 062, 00 </w:t>
            </w:r>
            <w:r/>
          </w:p>
        </w:tc>
      </w:tr>
      <w:tr>
        <w:trPr>
          <w:jc w:val="center"/>
        </w:trPr>
        <w:tc>
          <w:tcPr>
            <w:tcW w:w="104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9.1.</w:t>
            </w:r>
            <w:r/>
          </w:p>
        </w:tc>
        <w:tc>
          <w:tcPr>
            <w:tcW w:w="3072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кошти бюджету Менської ОТГ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1 867 387,00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2 116 373, 00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2 240 865, 00</w:t>
            </w:r>
            <w:r/>
          </w:p>
        </w:tc>
      </w:tr>
      <w:tr>
        <w:trPr>
          <w:jc w:val="center"/>
        </w:trPr>
        <w:tc>
          <w:tcPr>
            <w:tcW w:w="104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9.2.</w:t>
            </w:r>
            <w:r/>
          </w:p>
        </w:tc>
        <w:tc>
          <w:tcPr>
            <w:tcW w:w="3072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кошти спеціального фонду (спонсорські кошти, надходження благодійних внесків від батьків в натуральній формі, інші джерела коштів, не заборонених законодавством)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690 998, 00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783 130, 00</w:t>
            </w:r>
            <w:r/>
          </w:p>
        </w:tc>
        <w:tc>
          <w:tcPr>
            <w:tcW w:w="183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829 197, 00</w:t>
            </w:r>
            <w:r/>
          </w:p>
        </w:tc>
      </w:tr>
    </w:tbl>
    <w:p>
      <w:p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r/>
    </w:p>
    <w:p>
      <w:pPr>
        <w:jc w:val="center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/>
      <w:r>
        <w:rPr>
          <w:rFonts w:ascii="Times New Roman" w:hAnsi="Times New Roman"/>
          <w:b/>
          <w:sz w:val="28"/>
          <w:szCs w:val="28"/>
          <w:lang w:eastAsia="ru-RU"/>
        </w:rPr>
        <w:t xml:space="preserve">ІІ. Загальні положення</w:t>
      </w:r>
      <w:r/>
    </w:p>
    <w:p>
      <w:pPr>
        <w:ind w:firstLine="568"/>
        <w:jc w:val="both"/>
        <w:spacing w:lineRule="auto" w:line="240" w:after="0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Питання організації харчування учнів є не менш важливим з поміж освітянських питань, які щоденно доводиться вирішувати.Організоване шкільне харчування регламентується санітарними правилами і нормами, і тому значною мірою задовольняє принципам раціонального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харчування. Організація раціонального харчування школярів може дозволити досягти наступних основних цілей: зростання навчального потенціалу дітей та підлітків; поліпшення стану здоров'я школярів, зменшення випадків ожиріння, дистрофії та інших захворювань,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пов'язаних з харчуванням, а в перспективі - поліпшення репродуктивного здоров'я; зниження ризику розвитку серцево-судинних, ендокринних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шлунково-кишкових захворювань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період навча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ння в школі і протягом подальшого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життя; поліпшення успішності школярів; підвищення їх загального культурного рівня.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Організація харчування учнів в закладах загальної середньої освіти здійснюється за місцем навчання відповідно до Законів України «Про освіту», «Про загальну середню освіту», «Про охорону дитинства»,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державну соціальну допомогу малозабезпеченим сім’ям»</w:t>
      </w:r>
      <w:r>
        <w:rPr>
          <w:rFonts w:ascii="Times New Roman" w:hAnsi="Times New Roman"/>
          <w:sz w:val="28"/>
          <w:szCs w:val="28"/>
          <w:lang w:eastAsia="ru-RU"/>
        </w:rPr>
        <w:t xml:space="preserve"> та інших нормативно-правових актів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</w:t>
      </w:r>
      <w:r/>
    </w:p>
    <w:p>
      <w:pPr>
        <w:ind w:firstLine="568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2019 рік р</w:t>
      </w:r>
      <w:r>
        <w:rPr>
          <w:rFonts w:ascii="Times New Roman" w:hAnsi="Times New Roman"/>
          <w:sz w:val="28"/>
          <w:szCs w:val="28"/>
        </w:rPr>
        <w:t xml:space="preserve">ішенням двадцять четвертої сесії сьомого скликання від 17 грудня 2018 року № 480 «Про затвердження Програми організації харчування учнів у закладах загальної середньої освіти Менської міської ради на 2019 рік» бу</w:t>
      </w:r>
      <w:r>
        <w:rPr>
          <w:rFonts w:ascii="Times New Roman" w:hAnsi="Times New Roman"/>
          <w:sz w:val="28"/>
          <w:szCs w:val="28"/>
        </w:rPr>
        <w:t xml:space="preserve">ло</w:t>
      </w:r>
      <w:r>
        <w:rPr>
          <w:rFonts w:ascii="Times New Roman" w:hAnsi="Times New Roman"/>
          <w:sz w:val="28"/>
          <w:szCs w:val="28"/>
        </w:rPr>
        <w:t xml:space="preserve"> затверджено відповідну Програму.</w:t>
      </w:r>
      <w:r/>
    </w:p>
    <w:p>
      <w:pPr>
        <w:pStyle w:val="187"/>
        <w:ind w:firstLine="567"/>
        <w:jc w:val="both"/>
        <w:spacing w:after="0" w:afterAutospacing="0" w:before="0" w:beforeAutospacing="0"/>
        <w:rPr>
          <w:rStyle w:val="190"/>
          <w:sz w:val="28"/>
          <w:szCs w:val="28"/>
        </w:rPr>
      </w:pPr>
      <w:r>
        <w:rPr>
          <w:rStyle w:val="191"/>
          <w:sz w:val="28"/>
          <w:szCs w:val="28"/>
        </w:rPr>
        <w:t xml:space="preserve">Гарячим </w:t>
      </w:r>
      <w:r>
        <w:rPr>
          <w:rStyle w:val="190"/>
          <w:b/>
          <w:sz w:val="28"/>
          <w:szCs w:val="28"/>
        </w:rPr>
        <w:t xml:space="preserve">безкоштовним харчуванням</w:t>
      </w:r>
      <w:r>
        <w:rPr>
          <w:rStyle w:val="190"/>
          <w:sz w:val="28"/>
          <w:szCs w:val="28"/>
        </w:rPr>
        <w:t xml:space="preserve"> у закладах загальної середньої освіти Менської міської ради забезпечувалися:</w:t>
      </w:r>
      <w:r/>
    </w:p>
    <w:p>
      <w:pPr>
        <w:numPr>
          <w:ilvl w:val="0"/>
          <w:numId w:val="9"/>
        </w:numPr>
        <w:ind w:left="0" w:hanging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здобувачі освіти 1-4 класів;</w:t>
      </w:r>
      <w:r/>
    </w:p>
    <w:p>
      <w:pPr>
        <w:jc w:val="both"/>
        <w:spacing w:lineRule="auto" w:line="240" w:after="0"/>
        <w:tabs>
          <w:tab w:val="left" w:pos="426" w:leader="none"/>
        </w:tabs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  <w:t xml:space="preserve"> здобувачі освіти 1-11 класів пільгових категорій, а саме:</w:t>
      </w:r>
      <w:r/>
    </w:p>
    <w:p>
      <w:pPr>
        <w:numPr>
          <w:ilvl w:val="0"/>
          <w:numId w:val="9"/>
        </w:numPr>
        <w:ind w:left="0" w:hanging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діти–сироти та діти, позбавлені батьківського піклування;</w:t>
      </w:r>
      <w:r/>
    </w:p>
    <w:p>
      <w:pPr>
        <w:numPr>
          <w:ilvl w:val="0"/>
          <w:numId w:val="9"/>
        </w:numPr>
        <w:ind w:left="0" w:hanging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діти з малозабезпечених сімей;</w:t>
      </w:r>
      <w:r/>
    </w:p>
    <w:p>
      <w:pPr>
        <w:numPr>
          <w:ilvl w:val="0"/>
          <w:numId w:val="9"/>
        </w:numPr>
        <w:ind w:left="0" w:hanging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діти учасників бойових дій – АТО та ООС;</w:t>
      </w:r>
      <w:r/>
    </w:p>
    <w:p>
      <w:pPr>
        <w:numPr>
          <w:ilvl w:val="0"/>
          <w:numId w:val="9"/>
        </w:numPr>
        <w:ind w:left="0" w:hanging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дітей, батьки яких загинули під час виконання службових </w:t>
      </w:r>
      <w:r>
        <w:rPr>
          <w:rFonts w:ascii="Times New Roman" w:hAnsi="Times New Roman"/>
          <w:sz w:val="28"/>
          <w:szCs w:val="28"/>
          <w:lang w:eastAsia="uk-UA"/>
        </w:rPr>
        <w:t xml:space="preserve">обов</w:t>
      </w:r>
      <w:r>
        <w:rPr>
          <w:rFonts w:ascii="Symbol" w:hAnsi="Symbol" w:cs="Symbol" w:eastAsia="Symbol"/>
          <w:sz w:val="28"/>
          <w:szCs w:val="28"/>
          <w:lang w:eastAsia="uk-UA"/>
        </w:rPr>
        <w:t xml:space="preserve">¢</w:t>
      </w:r>
      <w:r>
        <w:rPr>
          <w:rFonts w:ascii="Times New Roman" w:hAnsi="Times New Roman"/>
          <w:sz w:val="28"/>
          <w:szCs w:val="28"/>
          <w:lang w:eastAsia="uk-UA"/>
        </w:rPr>
        <w:t xml:space="preserve">язків</w:t>
      </w:r>
      <w:r>
        <w:rPr>
          <w:rFonts w:ascii="Times New Roman" w:hAnsi="Times New Roman"/>
          <w:sz w:val="28"/>
          <w:szCs w:val="28"/>
          <w:lang w:eastAsia="uk-UA"/>
        </w:rPr>
        <w:t xml:space="preserve"> в зоні АТО та ООС;</w:t>
      </w:r>
      <w:r/>
    </w:p>
    <w:p>
      <w:pPr>
        <w:numPr>
          <w:ilvl w:val="0"/>
          <w:numId w:val="9"/>
        </w:numPr>
        <w:ind w:left="0" w:hanging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діти з особливими освітніми потребами, які навчаються в спеціальних і інклюзивних класах; </w:t>
      </w:r>
      <w:r/>
    </w:p>
    <w:p>
      <w:pPr>
        <w:numPr>
          <w:ilvl w:val="0"/>
          <w:numId w:val="9"/>
        </w:numPr>
        <w:ind w:left="0" w:hanging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діти з інвалідністю;</w:t>
      </w:r>
      <w:r/>
    </w:p>
    <w:p>
      <w:pPr>
        <w:numPr>
          <w:ilvl w:val="0"/>
          <w:numId w:val="9"/>
        </w:numPr>
        <w:ind w:left="0" w:hanging="0"/>
        <w:jc w:val="both"/>
        <w:spacing w:lineRule="auto" w:line="240" w:after="0"/>
        <w:tabs>
          <w:tab w:val="left" w:pos="426" w:leader="none"/>
        </w:tabs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діти постраждалі внаслідок аварії на ЧАЕС; </w:t>
      </w:r>
      <w:r/>
    </w:p>
    <w:p>
      <w:pPr>
        <w:numPr>
          <w:ilvl w:val="0"/>
          <w:numId w:val="9"/>
        </w:numPr>
        <w:ind w:left="0" w:hanging="0"/>
        <w:jc w:val="both"/>
        <w:spacing w:lineRule="auto" w:line="240" w:after="0"/>
        <w:tabs>
          <w:tab w:val="left" w:pos="426" w:leader="none"/>
          <w:tab w:val="left" w:pos="851" w:leader="none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 виняткових випадках (в разі, якщо сім</w:t>
      </w:r>
      <w:r>
        <w:rPr>
          <w:rFonts w:ascii="Symbol" w:hAnsi="Symbol" w:cs="Symbol" w:eastAsia="Symbol"/>
          <w:sz w:val="28"/>
          <w:szCs w:val="28"/>
          <w:lang w:eastAsia="uk-UA"/>
        </w:rPr>
        <w:t xml:space="preserve">¢</w:t>
      </w:r>
      <w:r>
        <w:rPr>
          <w:rFonts w:ascii="Times New Roman" w:hAnsi="Times New Roman"/>
          <w:sz w:val="28"/>
          <w:szCs w:val="28"/>
          <w:lang w:eastAsia="uk-UA"/>
        </w:rPr>
        <w:t xml:space="preserve">я опинилась в складних життєвих обставинах або батьки неспроможні з поважних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</w:t>
      </w:r>
      <w:r>
        <w:rPr>
          <w:rFonts w:ascii="Times New Roman" w:hAnsi="Times New Roman"/>
          <w:sz w:val="28"/>
          <w:szCs w:val="28"/>
          <w:lang w:eastAsia="uk-UA"/>
        </w:rPr>
        <w:t xml:space="preserve">та за пропозицією відділу освіти Менської міської ради)).</w:t>
      </w:r>
      <w:r/>
    </w:p>
    <w:p>
      <w:pPr>
        <w:jc w:val="both"/>
        <w:spacing w:lineRule="auto" w:line="240" w:after="0"/>
        <w:tabs>
          <w:tab w:val="left" w:pos="426" w:leader="none"/>
          <w:tab w:val="left" w:pos="851" w:leader="none"/>
        </w:tabs>
        <w:rPr>
          <w:rStyle w:val="191"/>
          <w:rFonts w:ascii="Times New Roman" w:hAnsi="Times New Roman"/>
          <w:sz w:val="28"/>
          <w:szCs w:val="28"/>
        </w:rPr>
      </w:pPr>
      <w:r>
        <w:rPr>
          <w:rStyle w:val="191"/>
          <w:rFonts w:ascii="Times New Roman" w:hAnsi="Times New Roman"/>
          <w:sz w:val="28"/>
          <w:szCs w:val="28"/>
        </w:rPr>
        <w:tab/>
        <w:t xml:space="preserve">Гарячим харчуванням, з </w:t>
      </w:r>
      <w:r>
        <w:rPr>
          <w:rStyle w:val="191"/>
          <w:rFonts w:ascii="Times New Roman" w:hAnsi="Times New Roman"/>
          <w:b/>
          <w:sz w:val="28"/>
          <w:szCs w:val="28"/>
        </w:rPr>
        <w:t xml:space="preserve">оплатою у розмірі 50% від вартості харчування</w:t>
      </w:r>
      <w:r>
        <w:rPr>
          <w:rStyle w:val="191"/>
          <w:rFonts w:ascii="Times New Roman" w:hAnsi="Times New Roman"/>
          <w:sz w:val="28"/>
          <w:szCs w:val="28"/>
        </w:rPr>
        <w:t xml:space="preserve">, забезпечувалися діти з багатодітних сімей, що навчаються в закладах загальної середньої освіти Менської міської ради.</w:t>
      </w:r>
      <w:r/>
    </w:p>
    <w:p>
      <w:pPr>
        <w:jc w:val="both"/>
        <w:spacing w:lineRule="auto" w:line="240" w:after="0"/>
        <w:tabs>
          <w:tab w:val="left" w:pos="426" w:leader="none"/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Style w:val="192"/>
          <w:rFonts w:ascii="Times New Roman" w:hAnsi="Times New Roman"/>
          <w:sz w:val="28"/>
          <w:szCs w:val="28"/>
        </w:rPr>
        <w:tab/>
        <w:t xml:space="preserve">Вартість харчування одного учня в день в закладах загальної середньої освіти  Менськ</w:t>
      </w:r>
      <w:r>
        <w:rPr>
          <w:rFonts w:ascii="Times New Roman" w:hAnsi="Times New Roman"/>
          <w:sz w:val="28"/>
          <w:szCs w:val="28"/>
        </w:rPr>
        <w:t xml:space="preserve">ої </w:t>
      </w:r>
      <w:r>
        <w:rPr>
          <w:rFonts w:ascii="Times New Roman" w:hAnsi="Times New Roman"/>
          <w:sz w:val="28"/>
          <w:szCs w:val="28"/>
        </w:rPr>
        <w:t xml:space="preserve">міської</w:t>
      </w:r>
      <w:r>
        <w:rPr>
          <w:rFonts w:ascii="Times New Roman" w:hAnsi="Times New Roman"/>
          <w:sz w:val="28"/>
          <w:szCs w:val="28"/>
        </w:rPr>
        <w:t xml:space="preserve"> ради  встановлювалася у сумі 12 </w:t>
      </w:r>
      <w:r>
        <w:rPr>
          <w:rFonts w:ascii="Times New Roman" w:hAnsi="Times New Roman"/>
          <w:sz w:val="28"/>
          <w:szCs w:val="28"/>
        </w:rPr>
        <w:t xml:space="preserve">грн</w:t>
      </w:r>
      <w:r>
        <w:rPr>
          <w:rFonts w:ascii="Times New Roman" w:hAnsi="Times New Roman"/>
          <w:sz w:val="28"/>
          <w:szCs w:val="28"/>
        </w:rPr>
        <w:t xml:space="preserve"> для учнів   1-4 класів та  дітей пільгових категорій 1-11 класів.</w:t>
      </w:r>
      <w:r/>
    </w:p>
    <w:p>
      <w:pPr>
        <w:jc w:val="both"/>
        <w:spacing w:lineRule="auto" w:line="240" w:after="0"/>
        <w:tabs>
          <w:tab w:val="left" w:pos="426" w:leader="none"/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Станом на 01.01.2019 року</w:t>
      </w:r>
      <w:r>
        <w:rPr>
          <w:rFonts w:ascii="Times New Roman" w:hAnsi="Times New Roman"/>
          <w:sz w:val="28"/>
          <w:szCs w:val="28"/>
        </w:rPr>
        <w:t xml:space="preserve"> загальна кількість здобувачів освіти становить 2291</w:t>
      </w:r>
      <w:r>
        <w:rPr>
          <w:rFonts w:ascii="Times New Roman" w:hAnsi="Times New Roman"/>
          <w:sz w:val="28"/>
          <w:szCs w:val="28"/>
        </w:rPr>
        <w:t xml:space="preserve"> учень, з них</w:t>
      </w:r>
      <w:r>
        <w:rPr>
          <w:rFonts w:ascii="Times New Roman" w:hAnsi="Times New Roman"/>
          <w:sz w:val="28"/>
          <w:szCs w:val="28"/>
        </w:rPr>
        <w:t xml:space="preserve"> кількість здобувачів освіти охоплених гарячим харчуванням в закладах загальної середньої освіти станови</w:t>
      </w:r>
      <w:r>
        <w:rPr>
          <w:rFonts w:ascii="Times New Roman" w:hAnsi="Times New Roman"/>
          <w:sz w:val="28"/>
          <w:szCs w:val="28"/>
        </w:rPr>
        <w:t xml:space="preserve">ть</w:t>
      </w:r>
      <w:r>
        <w:rPr>
          <w:rFonts w:ascii="Times New Roman" w:hAnsi="Times New Roman"/>
          <w:sz w:val="28"/>
          <w:szCs w:val="28"/>
        </w:rPr>
        <w:t xml:space="preserve"> 1447 учнів. </w:t>
      </w:r>
      <w:r>
        <w:rPr>
          <w:rFonts w:ascii="Times New Roman" w:hAnsi="Times New Roman"/>
          <w:sz w:val="28"/>
          <w:szCs w:val="28"/>
        </w:rPr>
        <w:t xml:space="preserve">Серед</w:t>
      </w:r>
      <w:r>
        <w:rPr>
          <w:rFonts w:ascii="Times New Roman" w:hAnsi="Times New Roman"/>
          <w:sz w:val="28"/>
          <w:szCs w:val="28"/>
        </w:rPr>
        <w:t xml:space="preserve"> них</w:t>
      </w:r>
      <w:r>
        <w:rPr>
          <w:rFonts w:ascii="Times New Roman" w:hAnsi="Times New Roman"/>
          <w:sz w:val="28"/>
          <w:szCs w:val="28"/>
        </w:rPr>
        <w:t xml:space="preserve"> 958 учнів пільгових категорій забезпечувалися пільгою у розмірі 100% від вартості харчування,</w:t>
      </w:r>
      <w:r>
        <w:rPr>
          <w:rFonts w:ascii="Times New Roman" w:hAnsi="Times New Roman"/>
          <w:sz w:val="28"/>
          <w:szCs w:val="28"/>
        </w:rPr>
        <w:t xml:space="preserve"> 125 учнів </w:t>
      </w:r>
      <w:r>
        <w:rPr>
          <w:rFonts w:ascii="Times New Roman" w:hAnsi="Times New Roman"/>
          <w:sz w:val="28"/>
          <w:szCs w:val="28"/>
        </w:rPr>
        <w:t xml:space="preserve">забезпечувалися пільгою у розмірі 50 % від вартості харчування (учні з багатодітних родин).</w:t>
      </w:r>
      <w:r>
        <w:rPr>
          <w:rFonts w:ascii="Times New Roman" w:hAnsi="Times New Roman"/>
          <w:sz w:val="28"/>
          <w:szCs w:val="28"/>
        </w:rPr>
        <w:t xml:space="preserve"> Середнє </w:t>
      </w:r>
      <w:r>
        <w:rPr>
          <w:rFonts w:ascii="Times New Roman" w:hAnsi="Times New Roman"/>
          <w:sz w:val="28"/>
          <w:szCs w:val="28"/>
        </w:rPr>
        <w:t xml:space="preserve"> виконання норм харчування становить 72 %.</w:t>
      </w:r>
      <w:r/>
    </w:p>
    <w:p>
      <w:pPr>
        <w:ind w:firstLine="568"/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обрахуванн</w:t>
      </w:r>
      <w:r>
        <w:rPr>
          <w:rFonts w:ascii="Times New Roman" w:hAnsi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sz w:val="28"/>
          <w:szCs w:val="28"/>
          <w:lang w:eastAsia="ru-RU"/>
        </w:rPr>
        <w:t xml:space="preserve"> розрахункових показників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ко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штів необхідних для реалізації даної П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рограми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у 2020-2022 роках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покладено наступні вимоги:</w:t>
      </w:r>
      <w:r/>
    </w:p>
    <w:p>
      <w:pPr>
        <w:pStyle w:val="186"/>
        <w:numPr>
          <w:ilvl w:val="0"/>
          <w:numId w:val="7"/>
        </w:numPr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орієнтовна кількість здобувачів освіти, що харчуватимуться,</w:t>
      </w:r>
      <w:r/>
    </w:p>
    <w:p>
      <w:pPr>
        <w:pStyle w:val="186"/>
        <w:numPr>
          <w:ilvl w:val="0"/>
          <w:numId w:val="7"/>
        </w:numPr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орієнтовна кількість здобувачів освіти 1-4 класів, що харчуватимуться безкоштовно,</w:t>
      </w:r>
      <w:r/>
    </w:p>
    <w:p>
      <w:pPr>
        <w:pStyle w:val="186"/>
        <w:numPr>
          <w:ilvl w:val="0"/>
          <w:numId w:val="7"/>
        </w:numPr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орієнтовна кількість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здобувачів освіти 5-11 класів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що користуватимуться пільгами на харчування ( батьки звільнені на 100% від плати за харчування),</w:t>
      </w:r>
      <w:r/>
    </w:p>
    <w:p>
      <w:pPr>
        <w:pStyle w:val="186"/>
        <w:numPr>
          <w:ilvl w:val="0"/>
          <w:numId w:val="7"/>
        </w:numPr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орієнтовна кількість здобувачів освіти 5-11 класів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що користуватимуться пільгами на харчування ( батьки звільнені на 50% від плати за харчування),</w:t>
      </w:r>
      <w:r/>
    </w:p>
    <w:p>
      <w:pPr>
        <w:pStyle w:val="186"/>
        <w:numPr>
          <w:ilvl w:val="0"/>
          <w:numId w:val="7"/>
        </w:numPr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орієнтовна кількість дітей, що  не користуватимуться пільгами на харчування (батьківська плата становить 100 % від вартості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дітодня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</w:t>
      </w:r>
      <w:r/>
    </w:p>
    <w:p>
      <w:pPr>
        <w:pStyle w:val="186"/>
        <w:numPr>
          <w:ilvl w:val="0"/>
          <w:numId w:val="7"/>
        </w:numPr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вартість харчування здобувача освіти з урахуванням підвищення цін на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продукти харчування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(2020 рік - 15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грн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 день, 2021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рік-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17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грн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день, 2022 рік – 18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грн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 день),</w:t>
      </w:r>
      <w:r/>
    </w:p>
    <w:p>
      <w:pPr>
        <w:pStyle w:val="186"/>
        <w:numPr>
          <w:ilvl w:val="0"/>
          <w:numId w:val="7"/>
        </w:numPr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виконання норм харчування.</w:t>
      </w:r>
      <w:r/>
    </w:p>
    <w:p>
      <w:pPr>
        <w:ind w:firstLine="540"/>
        <w:jc w:val="center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ІІІ. Мета Програми</w:t>
      </w:r>
      <w:r/>
    </w:p>
    <w:p>
      <w:pPr>
        <w:ind w:firstLine="568"/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Основна мета Програми - це створення умов для збереження здоров’я дітей, підвищення рівня організації харчування, забезпечення школярів якісним харчуванням.</w:t>
      </w:r>
      <w:r/>
    </w:p>
    <w:p>
      <w:pPr>
        <w:jc w:val="center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ІV. Завдання Програми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створення єдиної системи  харчування;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удосконалення управління системою організації харчування, оптимізації витрат на її функціонування;  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створення умов для  харчування  учнів;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 охоплення гарячим харчуванням учнів закладів загальної середньої освіти;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забезпечити безкоштовним харчуванням учнів 1-4-х класів;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забезпечення безкоштовним гарячим харчуванням дітей пільгових категорій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 xml:space="preserve">дітей – сиріт, дітей, позбавлених батьківського піклування, дітей з сімей, які отримують допомогу відповідно до  Закону України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державну соціальну допомогу малозабезпеченим сім’ям»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дітей учасників бойових дій (АТО, ООС), дітей, батьки яких загинули під час виконання службових обов'язків в зоні проведення антитерористичної операції та зоні проведення операції об’єднаних сил, дітей з особливими освітніми потребами, які навчаються в спе</w:t>
      </w:r>
      <w:r>
        <w:rPr>
          <w:rFonts w:ascii="Times New Roman" w:hAnsi="Times New Roman"/>
          <w:sz w:val="28"/>
          <w:szCs w:val="28"/>
          <w:lang w:eastAsia="ru-RU"/>
        </w:rPr>
        <w:t xml:space="preserve">ціальних і інклюзивних класах, дітей з інвалідністю, дітей постраждалих внаслідок аварії на ЧАЕС, у виняткових випадках (в разі, якщо сім'я опинилась в складних життєвих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обставинах або батьки неспроможні з поважних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</w:t>
      </w:r>
      <w:r>
        <w:rPr>
          <w:rFonts w:ascii="Times New Roman" w:hAnsi="Times New Roman"/>
          <w:sz w:val="28"/>
          <w:szCs w:val="28"/>
          <w:lang w:eastAsia="ru-RU"/>
        </w:rPr>
        <w:t xml:space="preserve"> Менської міської ради). 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забезпечення гарячим харчуванням, з оплатою у розмірі 50% від вартості харчування в день, дітей з багатодітних сімей, що відвідують заклади загальної середньої освіти Менської міської ради. </w:t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еалізація Програми</w:t>
      </w:r>
      <w:r/>
    </w:p>
    <w:p>
      <w:pPr>
        <w:ind w:firstLine="568"/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Програма організації харчування у закладах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загальної середньої </w:t>
      </w:r>
      <w:r>
        <w:rPr>
          <w:rFonts w:ascii="Times New Roman" w:hAnsi="Times New Roman"/>
          <w:sz w:val="28"/>
          <w:szCs w:val="28"/>
          <w:lang w:eastAsia="ru-RU"/>
        </w:rPr>
        <w:t xml:space="preserve">освіти Менської міської ради на 2020-2022 роки передбачає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забезпечення якісним харчуванням дітей всіх закладів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загальної середньої освіти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Менської міської ради, надання пільг при оплаті за харчування окремим категоріям дітей. Дана програма необхідна для забезпечення раціонального та ефективного використання бюджетних коштів.</w:t>
      </w:r>
      <w:r/>
    </w:p>
    <w:p>
      <w:pPr>
        <w:pStyle w:val="186"/>
        <w:ind w:left="928"/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Реалізація Програми дасть змогу: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забезпечити безкоштовним харчуванням учнів 1-4-х класів;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збільшити кількість учнів, які охоплені гарячим харчуванням; 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забезпечити якісним харчуванням учнів пільгових категорій;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надати збалансоване харчування відповідно до віку і стану здоров`я дітей, урізноманітнити раціон харчування;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поліпшити контроль за якістю сировини й готової продукції;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забезпечити раціональне та ефективне використання бюджетних коштів.</w:t>
      </w:r>
      <w:r/>
    </w:p>
    <w:p>
      <w:pPr>
        <w:jc w:val="center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VІ. Фінансування Програми</w:t>
      </w:r>
      <w:r/>
    </w:p>
    <w:p>
      <w:pPr>
        <w:pStyle w:val="186"/>
        <w:numPr>
          <w:ilvl w:val="0"/>
          <w:numId w:val="6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Кошти бюджету Менської ОТГ для харчування:</w:t>
      </w:r>
      <w:r>
        <w:rPr>
          <w:rFonts w:ascii="Times New Roman" w:hAnsi="Times New Roman"/>
          <w:sz w:val="28"/>
          <w:szCs w:val="28"/>
          <w:lang w:eastAsia="ru-RU"/>
        </w:rPr>
        <w:tab/>
      </w:r>
      <w:r/>
    </w:p>
    <w:p>
      <w:pPr>
        <w:pStyle w:val="186"/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безкоштовне харчування учнів 1-4 класів;</w:t>
      </w:r>
      <w:r/>
    </w:p>
    <w:p>
      <w:pPr>
        <w:pStyle w:val="186"/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безкоштовне харчування учнів 1-11 кл. пільгових категорій (дітей – сиріт, дітей, позбавлених батьківського піклування, дітей з сімей, які отримують допомогу відповідно до Закону України «Про державну </w:t>
      </w:r>
      <w:r>
        <w:rPr>
          <w:rFonts w:ascii="Times New Roman" w:hAnsi="Times New Roman"/>
          <w:sz w:val="28"/>
          <w:szCs w:val="28"/>
          <w:lang w:eastAsia="ru-RU"/>
        </w:rPr>
        <w:t xml:space="preserve">соціальну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допомогу </w:t>
      </w:r>
      <w:r>
        <w:rPr>
          <w:rFonts w:ascii="Times New Roman" w:hAnsi="Times New Roman"/>
          <w:sz w:val="28"/>
          <w:szCs w:val="28"/>
          <w:lang w:eastAsia="ru-RU"/>
        </w:rPr>
        <w:t xml:space="preserve">малозабезпеченим </w:t>
      </w:r>
      <w:r>
        <w:rPr>
          <w:rFonts w:ascii="Times New Roman" w:hAnsi="Times New Roman"/>
          <w:sz w:val="28"/>
          <w:szCs w:val="28"/>
          <w:lang w:eastAsia="ru-RU"/>
        </w:rPr>
        <w:t xml:space="preserve">сім’ям», дітей учасників бойових дій (АТО, ООС), дітей, батьки яких загинули під час виконання службових обов'язків в зоні проведення антитерористичної операції та зоні проведення операції об’єднаних сил, дітей з особливими освітніми потребами, які навчають</w:t>
      </w:r>
      <w:r>
        <w:rPr>
          <w:rFonts w:ascii="Times New Roman" w:hAnsi="Times New Roman"/>
          <w:sz w:val="28"/>
          <w:szCs w:val="28"/>
          <w:lang w:eastAsia="ru-RU"/>
        </w:rPr>
        <w:t xml:space="preserve">ся в спеціальних і інклюзивних класах, дітей з інвалідністю, дітей постраждалих внаслідок аварії на ЧАЕС та у виняткових випадках (в разі, якщо сім'я опинилась в складних життєвих обставинах або батьки неспроможні з поважних причин сплачувати за харчування </w:t>
      </w:r>
      <w:r>
        <w:rPr>
          <w:rFonts w:ascii="Times New Roman" w:hAnsi="Times New Roman"/>
          <w:sz w:val="28"/>
          <w:szCs w:val="28"/>
          <w:lang w:eastAsia="ru-RU"/>
        </w:rPr>
        <w:t xml:space="preserve">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ради).</w:t>
      </w:r>
      <w:r/>
    </w:p>
    <w:p>
      <w:pPr>
        <w:pStyle w:val="186"/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оплата в розмірі 50% від вартості харчування в день дітей закладів загальної середньої освіти з багатодітних сімей.</w:t>
      </w:r>
      <w:r/>
    </w:p>
    <w:p>
      <w:pPr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Кошти спеціального фонду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/>
    </w:p>
    <w:p>
      <w:pPr>
        <w:ind w:left="38" w:firstLine="682"/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Фінансування програми здійснюється за рахунок коштів бюджету Менської ОТГ та інших джерел не заборонених законодавством. При цьому </w:t>
      </w:r>
      <w:r>
        <w:rPr>
          <w:rFonts w:ascii="Times New Roman" w:hAnsi="Times New Roman"/>
          <w:sz w:val="28"/>
          <w:szCs w:val="28"/>
          <w:lang w:eastAsia="ru-RU"/>
        </w:rPr>
        <w:t xml:space="preserve">обсяг коштів формування бюджету з урахуванням його фінансових можливостей та може змінюватися в процесі виконання бюджету при внесенні змін до нього.</w:t>
      </w:r>
      <w:r/>
    </w:p>
    <w:p>
      <w:pPr>
        <w:jc w:val="center"/>
        <w:spacing w:lineRule="auto" w:line="240" w:after="0"/>
        <w:tabs>
          <w:tab w:val="left" w:pos="3000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VІІ. Очікуванні результати від реалізації Програми</w:t>
      </w:r>
      <w:r/>
    </w:p>
    <w:p>
      <w:pPr>
        <w:pStyle w:val="183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Реалізація основних завдань Програми забезпечить:</w:t>
      </w:r>
      <w:r/>
    </w:p>
    <w:p>
      <w:pPr>
        <w:pStyle w:val="183"/>
        <w:numPr>
          <w:ilvl w:val="0"/>
          <w:numId w:val="4"/>
        </w:numPr>
        <w:ind w:left="0" w:firstLine="709"/>
        <w:jc w:val="both"/>
        <w:tabs>
          <w:tab w:val="left" w:pos="1135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створення умов, що сприяють зміцненню здоров`я школярів, їх гармонійному розвитку;  </w:t>
      </w:r>
      <w:r/>
    </w:p>
    <w:p>
      <w:pPr>
        <w:pStyle w:val="183"/>
        <w:numPr>
          <w:ilvl w:val="0"/>
          <w:numId w:val="4"/>
        </w:numPr>
        <w:ind w:left="0" w:firstLine="709"/>
        <w:tabs>
          <w:tab w:val="left" w:pos="1135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якісне та збалансоване харчування школярів;</w:t>
      </w:r>
      <w:r/>
    </w:p>
    <w:p>
      <w:pPr>
        <w:pStyle w:val="183"/>
        <w:numPr>
          <w:ilvl w:val="0"/>
          <w:numId w:val="4"/>
        </w:numPr>
        <w:ind w:left="0" w:firstLine="709"/>
        <w:jc w:val="both"/>
        <w:tabs>
          <w:tab w:val="left" w:pos="1135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безкоштовним харчуванням учнів 1-4 класів та учнів 1-11 класів пільгових категорій відповідно до чинного законодавства; </w:t>
      </w:r>
      <w:r/>
    </w:p>
    <w:p>
      <w:pPr>
        <w:pStyle w:val="183"/>
        <w:numPr>
          <w:ilvl w:val="0"/>
          <w:numId w:val="4"/>
        </w:numPr>
        <w:ind w:left="0" w:firstLine="709"/>
        <w:tabs>
          <w:tab w:val="left" w:pos="1135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формування навичок правильного та здорового харчування;</w:t>
      </w:r>
      <w:r/>
    </w:p>
    <w:p>
      <w:pPr>
        <w:pStyle w:val="183"/>
        <w:numPr>
          <w:ilvl w:val="0"/>
          <w:numId w:val="4"/>
        </w:numPr>
        <w:ind w:left="0" w:firstLine="709"/>
        <w:jc w:val="both"/>
        <w:tabs>
          <w:tab w:val="left" w:pos="1135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змінення підходу до організації харчування через створення гнучкої системи харчування;</w:t>
      </w:r>
      <w:r/>
    </w:p>
    <w:p>
      <w:pPr>
        <w:jc w:val="center"/>
        <w:spacing w:lineRule="auto" w:line="240" w:after="0"/>
        <w:tabs>
          <w:tab w:val="left" w:pos="94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VІІІ.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Управління та контроль за ходом виконання Програми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Головним виконавцем Програми є відділ освіти Менської міської ради. Контроль за її виконанням здійснює виконавчий комітет міської ради.</w:t>
      </w:r>
      <w:r/>
    </w:p>
    <w:p>
      <w:pPr>
        <w:pStyle w:val="184"/>
        <w:ind w:left="0"/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VII</w:t>
      </w:r>
      <w:r>
        <w:rPr>
          <w:b/>
          <w:szCs w:val="28"/>
        </w:rPr>
        <w:t xml:space="preserve">I. Заходи Програми</w:t>
      </w:r>
      <w:r/>
    </w:p>
    <w:tbl>
      <w:tblPr>
        <w:tblW w:w="10348" w:type="dxa"/>
        <w:tblInd w:w="-45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1984"/>
        <w:gridCol w:w="2552"/>
        <w:gridCol w:w="1417"/>
      </w:tblGrid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8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</w:t>
            </w:r>
            <w:r/>
          </w:p>
          <w:p>
            <w:pPr>
              <w:pStyle w:val="18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Заходи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Джерела фінансування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Виконавці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</w:t>
            </w:r>
            <w:r/>
          </w:p>
          <w:p>
            <w:pPr>
              <w:pStyle w:val="18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виконання</w:t>
            </w:r>
            <w:r/>
          </w:p>
        </w:tc>
      </w:tr>
      <w:tr>
        <w:trPr>
          <w:cantSplit/>
          <w:trHeight w:val="461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pStyle w:val="18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1.Організаційно – методичне забезпечення</w:t>
            </w:r>
            <w:r/>
          </w:p>
        </w:tc>
      </w:tr>
      <w:tr>
        <w:trPr>
          <w:trHeight w:val="713"/>
        </w:trPr>
        <w:tc>
          <w:tcPr>
            <w:tcW w:w="709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Оформлення  інформаційних куточків для учнів та батьків щодо харчування дітей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потребує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</w:t>
            </w:r>
            <w:r>
              <w:rPr>
                <w:rFonts w:ascii="Times New Roman" w:hAnsi="Times New Roman"/>
                <w:lang w:val="uk-UA"/>
              </w:rPr>
              <w:t xml:space="preserve">аклади загальної середньої освіти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-2022</w:t>
            </w:r>
            <w:r/>
          </w:p>
        </w:tc>
      </w:tr>
      <w:tr>
        <w:trPr>
          <w:trHeight w:val="951"/>
        </w:trPr>
        <w:tc>
          <w:tcPr>
            <w:tcW w:w="709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Складання та оновлення бази даних дітей, які потребують безкоштовного харчування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потребує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 Менської міської ради, заклади загальної середньої освіти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-2022</w:t>
            </w:r>
            <w:r/>
          </w:p>
        </w:tc>
      </w:tr>
      <w:tr>
        <w:trPr>
          <w:trHeight w:val="279"/>
        </w:trPr>
        <w:tc>
          <w:tcPr>
            <w:tcW w:w="709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Організація та проведення нарад  для працівників харчоблоків 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потребує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 Менської міської ради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Держпрод-</w:t>
            </w:r>
            <w:r/>
          </w:p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</w:t>
            </w:r>
            <w:r>
              <w:rPr>
                <w:rFonts w:ascii="Times New Roman" w:hAnsi="Times New Roman"/>
                <w:lang w:val="uk-UA"/>
              </w:rPr>
              <w:t xml:space="preserve">поживслужба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-2022</w:t>
            </w:r>
            <w:r/>
          </w:p>
        </w:tc>
      </w:tr>
      <w:tr>
        <w:trPr>
          <w:cantSplit/>
          <w:trHeight w:val="31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pStyle w:val="18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2. Організація харчування у закладах загальної середньої освіти Менської міської ради</w:t>
            </w:r>
            <w:r/>
          </w:p>
        </w:tc>
      </w:tr>
      <w:tr>
        <w:trPr>
          <w:trHeight w:val="130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Забезпечення безкоштовним харчуванням учнів 1-4 класів закладів загальної середньої освіти: дітей-сиріт; дітей, позбавлених батьківськ</w:t>
            </w:r>
            <w:r>
              <w:rPr>
                <w:rFonts w:ascii="Times New Roman" w:hAnsi="Times New Roman"/>
                <w:lang w:val="uk-UA"/>
              </w:rPr>
              <w:t xml:space="preserve">ого піклування, дітей з сімей , що отримують допомогу відповідно до Закону України «</w:t>
            </w:r>
            <w:r>
              <w:rPr>
                <w:rFonts w:ascii="Times New Roman" w:hAnsi="Times New Roman"/>
                <w:bCs/>
                <w:shd w:val="clear" w:color="auto" w:fill="FFFFFF"/>
                <w:lang w:val="uk-UA"/>
              </w:rPr>
              <w:t xml:space="preserve">Про державну соціальну допомогу малозабезпеченим сім’ям»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дітей учасників бойових дій (АТО, ООС), дітей, батьки яких загинули під час виконання службових обов'язків в зоні проведення АТО та зоні проведення ООС, дітей з особливими освітніми потребами, які навчаються в спеціальних і інклюзивних класах, дітей з інвал</w:t>
            </w:r>
            <w:r>
              <w:rPr>
                <w:rFonts w:ascii="Times New Roman" w:hAnsi="Times New Roman"/>
                <w:lang w:val="uk-UA"/>
              </w:rPr>
              <w:t xml:space="preserve">ідністю, дітей постраждалих внаслідок аварії на ЧАЕС та у виняткових випадках (в разі, якщо сім'я опинилась в складних </w:t>
            </w:r>
            <w:r>
              <w:rPr>
                <w:rFonts w:ascii="Times New Roman" w:hAnsi="Times New Roman"/>
                <w:lang w:val="uk-UA"/>
              </w:rPr>
              <w:t xml:space="preserve">життєвих обставинах або батьки неспроможні з поважних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</w:t>
            </w:r>
            <w:r>
              <w:rPr>
                <w:rFonts w:ascii="Times New Roman" w:hAnsi="Times New Roman"/>
                <w:lang w:val="uk-UA"/>
              </w:rPr>
              <w:t xml:space="preserve">лу освіти Менської міської ради).</w:t>
            </w:r>
            <w:r/>
          </w:p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Оплата 50% від вартості харчування в день учнів закладів загальної середньої освіти з багатодітних сімей.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Менської ОТГ</w:t>
            </w:r>
            <w:r/>
          </w:p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 Менської міської ради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-2022</w:t>
            </w:r>
            <w:r/>
          </w:p>
        </w:tc>
      </w:tr>
      <w:tr>
        <w:trPr>
          <w:trHeight w:val="809"/>
        </w:trPr>
        <w:tc>
          <w:tcPr>
            <w:tcW w:w="709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2.2.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Організація раціонального  харчування з урахуванн</w:t>
            </w:r>
            <w:r>
              <w:rPr>
                <w:rFonts w:ascii="Times New Roman" w:hAnsi="Times New Roman"/>
                <w:lang w:val="uk-UA"/>
              </w:rPr>
              <w:t xml:space="preserve">ям віку і стану здоров'я учнів 1</w:t>
            </w:r>
            <w:r>
              <w:rPr>
                <w:rFonts w:ascii="Times New Roman" w:hAnsi="Times New Roman"/>
                <w:lang w:val="uk-UA"/>
              </w:rPr>
              <w:t xml:space="preserve">-11 класів.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потребує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Заклади загальної середньої освіти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-2022</w:t>
            </w:r>
            <w:r/>
          </w:p>
        </w:tc>
      </w:tr>
      <w:tr>
        <w:trPr>
          <w:trHeight w:val="977"/>
        </w:trPr>
        <w:tc>
          <w:tcPr>
            <w:tcW w:w="709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2.7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Дотримання санітарно-гігієнічних норм щодо організації харчування, оптимального режиму роботи їдалень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потребує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 Менської міської ради, заклади загальної середньої освіти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-2022</w:t>
            </w:r>
            <w:r/>
          </w:p>
        </w:tc>
      </w:tr>
      <w:tr>
        <w:trPr>
          <w:cantSplit/>
          <w:trHeight w:val="320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pStyle w:val="18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3. Підвищення якості харчування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учнів</w:t>
            </w:r>
            <w:r/>
          </w:p>
        </w:tc>
      </w:tr>
      <w:tr>
        <w:trPr>
          <w:trHeight w:val="486"/>
        </w:trPr>
        <w:tc>
          <w:tcPr>
            <w:tcW w:w="709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Розширення асортименту страв, буфетної продукції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потребує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Заклади загальної середньої освіти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20</w:t>
            </w: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-2022</w:t>
            </w:r>
            <w:r/>
          </w:p>
        </w:tc>
      </w:tr>
      <w:tr>
        <w:trPr>
          <w:trHeight w:val="961"/>
        </w:trPr>
        <w:tc>
          <w:tcPr>
            <w:tcW w:w="709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Розробка перспективного меню з вико</w:t>
            </w:r>
            <w:r>
              <w:rPr>
                <w:rFonts w:ascii="Times New Roman" w:hAnsi="Times New Roman"/>
                <w:lang w:val="uk-UA"/>
              </w:rPr>
              <w:t xml:space="preserve">нання</w:t>
            </w:r>
            <w:r>
              <w:rPr>
                <w:rFonts w:ascii="Times New Roman" w:hAnsi="Times New Roman"/>
                <w:lang w:val="uk-UA"/>
              </w:rPr>
              <w:t xml:space="preserve"> норм</w:t>
            </w:r>
            <w:r>
              <w:rPr>
                <w:rFonts w:ascii="Times New Roman" w:hAnsi="Times New Roman"/>
                <w:lang w:val="uk-UA"/>
              </w:rPr>
              <w:t xml:space="preserve"> харчування</w:t>
            </w:r>
            <w:r>
              <w:rPr>
                <w:rFonts w:ascii="Times New Roman" w:hAnsi="Times New Roman"/>
                <w:lang w:val="uk-UA"/>
              </w:rPr>
              <w:t xml:space="preserve"> відп</w:t>
            </w:r>
            <w:r>
              <w:rPr>
                <w:rFonts w:ascii="Times New Roman" w:hAnsi="Times New Roman"/>
                <w:lang w:val="uk-UA"/>
              </w:rPr>
              <w:t xml:space="preserve">овідно до чинного законодавства.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потребує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Заклади загальної середньої освіти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20</w:t>
            </w: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-2022</w:t>
            </w:r>
            <w:r/>
          </w:p>
        </w:tc>
      </w:tr>
      <w:tr>
        <w:trPr>
          <w:trHeight w:val="1298"/>
        </w:trPr>
        <w:tc>
          <w:tcPr>
            <w:tcW w:w="709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Контроль за якістю та безпекою</w:t>
            </w:r>
            <w:r>
              <w:rPr>
                <w:rFonts w:ascii="Times New Roman" w:hAnsi="Times New Roman"/>
                <w:lang w:val="uk-UA"/>
              </w:rPr>
              <w:t xml:space="preserve"> харчування</w:t>
            </w:r>
            <w:r>
              <w:rPr>
                <w:rFonts w:ascii="Times New Roman" w:hAnsi="Times New Roman"/>
                <w:lang w:val="uk-UA"/>
              </w:rPr>
              <w:t xml:space="preserve">, дотриманням термінів, умов зберігання та реалізації продуктів, за</w:t>
            </w:r>
            <w:r>
              <w:rPr>
                <w:rFonts w:ascii="Times New Roman" w:hAnsi="Times New Roman"/>
                <w:lang w:val="uk-UA"/>
              </w:rPr>
              <w:t xml:space="preserve"> поставкою продуктів харчування.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потребує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 Менської міської ради, заклади загальної середньої освіти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20</w:t>
            </w:r>
            <w:r>
              <w:rPr>
                <w:rFonts w:ascii="Times New Roman" w:hAnsi="Times New Roman"/>
                <w:lang w:val="uk-UA"/>
              </w:rPr>
              <w:t xml:space="preserve">-2022</w:t>
            </w:r>
            <w:r/>
          </w:p>
        </w:tc>
      </w:tr>
    </w:tbl>
    <w:p>
      <w:r/>
      <w:r/>
    </w:p>
    <w:p>
      <w:r/>
      <w:r/>
    </w:p>
    <w:p>
      <w:r/>
      <w:r/>
    </w:p>
    <w:sectPr>
      <w:footnotePr/>
      <w:type w:val="nextPage"/>
      <w:pgSz w:w="11906" w:h="16838"/>
      <w:pgMar w:top="850" w:right="850" w:bottom="850" w:left="1417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Wingdings">
    <w:panose1 w:val="05030102010509060703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ind w:left="502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222" w:hanging="359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lvlJc w:val="left"/>
      <w:pPr>
        <w:ind w:left="1942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662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382" w:hanging="359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ind w:left="4102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822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542" w:hanging="359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ind w:left="6262" w:hanging="359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21"/>
      <w:numFmt w:val="bullet"/>
      <w:suff w:val="tab"/>
      <w:lvlText w:val="-"/>
      <w:lvlJc w:val="left"/>
      <w:pPr>
        <w:ind w:left="1647" w:hanging="359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suff w:val="tab"/>
      <w:lvlText w:val="o"/>
      <w:lvlJc w:val="left"/>
      <w:pPr>
        <w:ind w:left="2367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3087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807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4527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5247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967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687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7407" w:hanging="359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800" w:hanging="359"/>
      </w:pPr>
    </w:lvl>
    <w:lvl w:ilvl="2">
      <w:start w:val="1"/>
      <w:numFmt w:val="lowerRoman"/>
      <w:suff w:val="tab"/>
      <w:lvlText w:val="%3."/>
      <w:lvlJc w:val="right"/>
      <w:pPr>
        <w:ind w:left="2520" w:hanging="179"/>
      </w:pPr>
    </w:lvl>
    <w:lvl w:ilvl="3">
      <w:start w:val="1"/>
      <w:numFmt w:val="decimal"/>
      <w:suff w:val="tab"/>
      <w:lvlText w:val="%4."/>
      <w:lvlJc w:val="left"/>
      <w:pPr>
        <w:ind w:left="3240" w:hanging="359"/>
      </w:pPr>
    </w:lvl>
    <w:lvl w:ilvl="4">
      <w:start w:val="1"/>
      <w:numFmt w:val="lowerLetter"/>
      <w:suff w:val="tab"/>
      <w:lvlText w:val="%5."/>
      <w:lvlJc w:val="left"/>
      <w:pPr>
        <w:ind w:left="3960" w:hanging="359"/>
      </w:pPr>
    </w:lvl>
    <w:lvl w:ilvl="5">
      <w:start w:val="1"/>
      <w:numFmt w:val="lowerRoman"/>
      <w:suff w:val="tab"/>
      <w:lvlText w:val="%6."/>
      <w:lvlJc w:val="right"/>
      <w:pPr>
        <w:ind w:left="4680" w:hanging="179"/>
      </w:pPr>
    </w:lvl>
    <w:lvl w:ilvl="6">
      <w:start w:val="1"/>
      <w:numFmt w:val="decimal"/>
      <w:suff w:val="tab"/>
      <w:lvlText w:val="%7."/>
      <w:lvlJc w:val="left"/>
      <w:pPr>
        <w:ind w:left="5400" w:hanging="359"/>
      </w:pPr>
    </w:lvl>
    <w:lvl w:ilvl="7">
      <w:start w:val="1"/>
      <w:numFmt w:val="lowerLetter"/>
      <w:suff w:val="tab"/>
      <w:lvlText w:val="%8."/>
      <w:lvlJc w:val="left"/>
      <w:pPr>
        <w:ind w:left="6120" w:hanging="359"/>
      </w:pPr>
    </w:lvl>
    <w:lvl w:ilvl="8">
      <w:start w:val="1"/>
      <w:numFmt w:val="lowerRoman"/>
      <w:suff w:val="tab"/>
      <w:lvlText w:val="%9."/>
      <w:lvlJc w:val="right"/>
      <w:pPr>
        <w:ind w:left="6840" w:hanging="179"/>
      </w:p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720" w:hanging="359"/>
      </w:pPr>
      <w:rPr>
        <w:rFonts w:ascii="Times New Roman" w:hAnsi="Times New Roman" w:cs="Times New Roman" w:eastAsia="Times New Roman" w:hint="default"/>
        <w:color w:val="000000"/>
        <w:sz w:val="22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5"/>
      <w:numFmt w:val="bullet"/>
      <w:suff w:val="tab"/>
      <w:lvlText w:val="-"/>
      <w:lvlJc w:val="left"/>
      <w:pPr>
        <w:ind w:left="928" w:hanging="359"/>
      </w:pPr>
      <w:rPr>
        <w:rFonts w:ascii="Times New Roman" w:hAnsi="Times New Roman" w:cs="Times New Roman" w:eastAsia="Batang" w:hint="default"/>
      </w:rPr>
    </w:lvl>
    <w:lvl w:ilvl="1">
      <w:start w:val="1"/>
      <w:numFmt w:val="bullet"/>
      <w:suff w:val="tab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088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248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7"/>
      <w:numFmt w:val="bullet"/>
      <w:suff w:val="tab"/>
      <w:lvlText w:val="-"/>
      <w:lvlJc w:val="left"/>
      <w:pPr>
        <w:ind w:left="502" w:hanging="359"/>
      </w:pPr>
      <w:rPr>
        <w:rFonts w:ascii="Times New Roman" w:hAnsi="Times New Roman" w:eastAsia="Times New Roman" w:hint="default"/>
      </w:rPr>
    </w:lvl>
    <w:lvl w:ilvl="1">
      <w:start w:val="1"/>
      <w:numFmt w:val="bullet"/>
      <w:suff w:val="tab"/>
      <w:lvlText w:val="o"/>
      <w:lvlJc w:val="left"/>
      <w:pPr>
        <w:ind w:left="1222" w:hanging="359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lvlJc w:val="left"/>
      <w:pPr>
        <w:ind w:left="1942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662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382" w:hanging="359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ind w:left="4102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822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542" w:hanging="359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ind w:left="6262" w:hanging="359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tru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77"/>
    <w:next w:val="17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17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77"/>
    <w:next w:val="17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17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77"/>
    <w:next w:val="17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17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77"/>
    <w:next w:val="17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17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77"/>
    <w:next w:val="17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17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77"/>
    <w:next w:val="17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17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77"/>
    <w:next w:val="17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7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77"/>
    <w:next w:val="17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7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77"/>
    <w:next w:val="17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7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177"/>
    <w:next w:val="17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178"/>
    <w:link w:val="32"/>
    <w:uiPriority w:val="10"/>
    <w:rPr>
      <w:sz w:val="48"/>
      <w:szCs w:val="48"/>
    </w:rPr>
  </w:style>
  <w:style w:type="paragraph" w:styleId="34">
    <w:name w:val="Subtitle"/>
    <w:basedOn w:val="177"/>
    <w:next w:val="17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178"/>
    <w:link w:val="34"/>
    <w:uiPriority w:val="11"/>
    <w:rPr>
      <w:sz w:val="24"/>
      <w:szCs w:val="24"/>
    </w:rPr>
  </w:style>
  <w:style w:type="paragraph" w:styleId="36">
    <w:name w:val="Quote"/>
    <w:basedOn w:val="177"/>
    <w:next w:val="17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77"/>
    <w:next w:val="177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7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78"/>
    <w:link w:val="40"/>
    <w:uiPriority w:val="99"/>
  </w:style>
  <w:style w:type="paragraph" w:styleId="42">
    <w:name w:val="Footer"/>
    <w:basedOn w:val="177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78"/>
    <w:link w:val="42"/>
    <w:uiPriority w:val="99"/>
  </w:style>
  <w:style w:type="table" w:styleId="44">
    <w:name w:val="Table Grid"/>
    <w:basedOn w:val="17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77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78"/>
    <w:uiPriority w:val="99"/>
    <w:unhideWhenUsed/>
    <w:rPr>
      <w:vertAlign w:val="superscript"/>
    </w:rPr>
  </w:style>
  <w:style w:type="paragraph" w:styleId="70">
    <w:name w:val="toc 1"/>
    <w:basedOn w:val="177"/>
    <w:next w:val="177"/>
    <w:uiPriority w:val="39"/>
    <w:unhideWhenUsed/>
    <w:pPr>
      <w:ind w:left="0" w:right="0" w:hanging="0"/>
      <w:spacing w:after="57"/>
    </w:pPr>
  </w:style>
  <w:style w:type="paragraph" w:styleId="71">
    <w:name w:val="toc 2"/>
    <w:basedOn w:val="177"/>
    <w:next w:val="177"/>
    <w:uiPriority w:val="39"/>
    <w:unhideWhenUsed/>
    <w:pPr>
      <w:ind w:left="283" w:right="0" w:hanging="0"/>
      <w:spacing w:after="57"/>
    </w:pPr>
  </w:style>
  <w:style w:type="paragraph" w:styleId="72">
    <w:name w:val="toc 3"/>
    <w:basedOn w:val="177"/>
    <w:next w:val="177"/>
    <w:uiPriority w:val="39"/>
    <w:unhideWhenUsed/>
    <w:pPr>
      <w:ind w:left="567" w:right="0" w:hanging="0"/>
      <w:spacing w:after="57"/>
    </w:pPr>
  </w:style>
  <w:style w:type="paragraph" w:styleId="73">
    <w:name w:val="toc 4"/>
    <w:basedOn w:val="177"/>
    <w:next w:val="177"/>
    <w:uiPriority w:val="39"/>
    <w:unhideWhenUsed/>
    <w:pPr>
      <w:ind w:left="850" w:right="0" w:hanging="0"/>
      <w:spacing w:after="57"/>
    </w:pPr>
  </w:style>
  <w:style w:type="paragraph" w:styleId="74">
    <w:name w:val="toc 5"/>
    <w:basedOn w:val="177"/>
    <w:next w:val="177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177"/>
    <w:next w:val="177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177"/>
    <w:next w:val="177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177"/>
    <w:next w:val="177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177"/>
    <w:next w:val="177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177" w:default="1">
    <w:name w:val="Normal"/>
    <w:qFormat/>
    <w:rPr>
      <w:rFonts w:ascii="Calibri" w:hAnsi="Calibri" w:cs="Times New Roman" w:eastAsia="Calibri"/>
    </w:rPr>
    <w:pPr>
      <w:spacing w:lineRule="auto" w:line="259" w:after="160"/>
    </w:pPr>
  </w:style>
  <w:style w:type="character" w:styleId="178" w:default="1">
    <w:name w:val="Default Paragraph Font"/>
    <w:uiPriority w:val="1"/>
    <w:semiHidden/>
    <w:unhideWhenUsed/>
  </w:style>
  <w:style w:type="table" w:styleId="17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" w:default="1">
    <w:name w:val="No List"/>
    <w:uiPriority w:val="99"/>
    <w:semiHidden/>
    <w:unhideWhenUsed/>
  </w:style>
  <w:style w:type="paragraph" w:styleId="181">
    <w:name w:val="Balloon Text"/>
    <w:basedOn w:val="177"/>
    <w:link w:val="182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182" w:customStyle="1">
    <w:name w:val="Текст выноски Знак"/>
    <w:basedOn w:val="178"/>
    <w:link w:val="181"/>
    <w:uiPriority w:val="99"/>
    <w:semiHidden/>
    <w:rPr>
      <w:rFonts w:ascii="Tahoma" w:hAnsi="Tahoma" w:cs="Tahoma" w:eastAsia="Calibri"/>
      <w:sz w:val="16"/>
      <w:szCs w:val="16"/>
    </w:rPr>
  </w:style>
  <w:style w:type="paragraph" w:styleId="183">
    <w:name w:val="No Spacing"/>
    <w:qFormat/>
    <w:uiPriority w:val="1"/>
    <w:rPr>
      <w:rFonts w:ascii="Calibri" w:hAnsi="Calibri" w:cs="Times New Roman" w:eastAsia="Times New Roman"/>
      <w:lang w:val="ru-RU" w:eastAsia="ru-RU"/>
    </w:rPr>
    <w:pPr>
      <w:spacing w:lineRule="auto" w:line="240" w:after="0"/>
    </w:pPr>
  </w:style>
  <w:style w:type="paragraph" w:styleId="184">
    <w:name w:val="Body Text Indent"/>
    <w:basedOn w:val="177"/>
    <w:link w:val="185"/>
    <w:uiPriority w:val="99"/>
    <w:rPr>
      <w:rFonts w:ascii="Times New Roman" w:hAnsi="Times New Roman" w:eastAsia="Times New Roman"/>
      <w:sz w:val="28"/>
      <w:szCs w:val="24"/>
      <w:lang w:eastAsia="ru-RU"/>
    </w:rPr>
    <w:pPr>
      <w:ind w:left="900"/>
      <w:jc w:val="both"/>
      <w:spacing w:lineRule="auto" w:line="240" w:after="0"/>
    </w:pPr>
  </w:style>
  <w:style w:type="character" w:styleId="185" w:customStyle="1">
    <w:name w:val="Основной текст с отступом Знак"/>
    <w:basedOn w:val="178"/>
    <w:link w:val="184"/>
    <w:uiPriority w:val="99"/>
    <w:rPr>
      <w:rFonts w:ascii="Times New Roman" w:hAnsi="Times New Roman" w:cs="Times New Roman" w:eastAsia="Times New Roman"/>
      <w:sz w:val="28"/>
      <w:szCs w:val="24"/>
      <w:lang w:eastAsia="ru-RU"/>
    </w:rPr>
  </w:style>
  <w:style w:type="paragraph" w:styleId="186">
    <w:name w:val="List Paragraph"/>
    <w:basedOn w:val="177"/>
    <w:qFormat/>
    <w:uiPriority w:val="34"/>
    <w:pPr>
      <w:contextualSpacing w:val="true"/>
      <w:ind w:left="720"/>
    </w:pPr>
  </w:style>
  <w:style w:type="paragraph" w:styleId="187" w:customStyle="1">
    <w:name w:val="docdata"/>
    <w:basedOn w:val="177"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character" w:styleId="188" w:customStyle="1">
    <w:name w:val="4563"/>
    <w:basedOn w:val="178"/>
  </w:style>
  <w:style w:type="character" w:styleId="189" w:customStyle="1">
    <w:name w:val="2733"/>
    <w:basedOn w:val="178"/>
  </w:style>
  <w:style w:type="character" w:styleId="190" w:customStyle="1">
    <w:name w:val="1332"/>
    <w:basedOn w:val="178"/>
  </w:style>
  <w:style w:type="character" w:styleId="191" w:customStyle="1">
    <w:name w:val="4247"/>
    <w:basedOn w:val="178"/>
  </w:style>
  <w:style w:type="character" w:styleId="192" w:customStyle="1">
    <w:name w:val="4285"/>
    <w:basedOn w:val="178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