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752474"/>
                <wp:effectExtent l="19049" t="0" r="9524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59.2pt;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УКРАЇНА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Менського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рай</w:t>
      </w:r>
      <w:bookmarkStart w:id="0" w:name="_GoBack"/>
      <w:r/>
      <w:bookmarkEnd w:id="0"/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ону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Чернігівської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області</w:t>
      </w:r>
      <w:r/>
    </w:p>
    <w:p>
      <w:pPr>
        <w:pStyle w:val="175"/>
        <w:jc w:val="center"/>
        <w:spacing w:after="0" w:afterAutospacing="0" w:before="0" w:beforeAutospacing="0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(тридцять шоста сесія сьомого скликання)</w:t>
      </w:r>
      <w:r/>
    </w:p>
    <w:p>
      <w:pPr>
        <w:pStyle w:val="175"/>
        <w:jc w:val="center"/>
        <w:spacing w:after="0" w:afterAutospacing="0" w:before="0" w:beforeAutospacing="0"/>
        <w:widowControl w:val="off"/>
      </w:pPr>
      <w:r>
        <w:rPr>
          <w:b/>
          <w:bCs/>
          <w:sz w:val="28"/>
          <w:szCs w:val="28"/>
        </w:rPr>
        <w:t xml:space="preserve">ПРОЄКТ РІШЕННЯ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/>
    </w:p>
    <w:p>
      <w:pPr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24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грудня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201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9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року                     №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</w:r>
      <w:r/>
    </w:p>
    <w:p>
      <w:pPr>
        <w:ind w:left="0" w:right="4962" w:hanging="0"/>
        <w:keepNext/>
        <w:spacing w:lineRule="auto" w:line="240" w:after="0"/>
        <w:rPr>
          <w:rFonts w:ascii="Times New Roman" w:hAnsi="Times New Roman"/>
          <w:b/>
          <w:bCs/>
          <w:iCs/>
          <w:sz w:val="28"/>
          <w:szCs w:val="28"/>
          <w:lang w:eastAsia="uk-UA"/>
        </w:rPr>
        <w:outlineLvl w:val="1"/>
      </w:pPr>
      <w:r/>
      <w:bookmarkStart w:id="1" w:name="_Toc502337417"/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 затвердження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Програми оздоровлення та літнього відпочинку дітей «Різнобарвне літо» на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2020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-2022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р</w:t>
      </w:r>
      <w:bookmarkEnd w:id="1"/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оки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 метою удосконалення організації повноцінного літнього відпочинку та оздоровлення дітей, відповідно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Конвенції ООН «Про права дитини» від 20 листопада 1989 року (ратифікована Україною 27 лютого 1991 року),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Законів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України «Про оздоровлення та відпочинок дітей», «Про охорону дитинства»,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Кабінету Міністрів України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 22.11.2004 №1591 «Про затвердження норм харчування у навчальних та оздоровчих закладах»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керуючись пп.22 п.1 ст.26 Закону України «Про місцеве самоврядування в Україні»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Менськ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міська рада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ВИРІШИЛА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:</w:t>
      </w:r>
      <w:r/>
    </w:p>
    <w:p>
      <w:pPr>
        <w:numPr>
          <w:ilvl w:val="0"/>
          <w:numId w:val="1"/>
        </w:numPr>
        <w:ind w:left="0" w:firstLine="709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Програму оздоровлення та літнього відпочинку дітей «Різнобарвне літо»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 2020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-2022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и згідно додатку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до даного рішення, що додається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numPr>
          <w:ilvl w:val="0"/>
          <w:numId w:val="1"/>
        </w:numPr>
        <w:ind w:left="0" w:firstLine="709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Відділу освіти </w:t>
      </w: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організоване виконання заходів Програми.</w:t>
      </w:r>
      <w:r/>
    </w:p>
    <w:p>
      <w:pPr>
        <w:numPr>
          <w:ilvl w:val="0"/>
          <w:numId w:val="1"/>
        </w:numPr>
        <w:ind w:left="0" w:firstLine="709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виконкому Менської міської ради </w:t>
      </w:r>
      <w:r>
        <w:rPr>
          <w:rFonts w:ascii="Times New Roman" w:hAnsi="Times New Roman"/>
          <w:sz w:val="28"/>
          <w:szCs w:val="28"/>
        </w:rPr>
        <w:t xml:space="preserve">Вишняк Т.С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left="567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ind w:firstLine="540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Міськи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й голова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ab/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А.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Примаков </w:t>
      </w:r>
      <w:r/>
    </w:p>
    <w:p>
      <w:pPr>
        <w:shd w:val="nil" w:color="auto" w:fill="FFFFFF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br w:type="page"/>
      </w:r>
      <w:r/>
    </w:p>
    <w:p>
      <w:pPr>
        <w:ind w:left="5387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Додаток </w:t>
      </w:r>
      <w:r>
        <w:rPr>
          <w:rStyle w:val="184"/>
          <w:rFonts w:ascii="Times New Roman" w:hAnsi="Times New Roman"/>
        </w:rPr>
        <w:t xml:space="preserve">до</w:t>
      </w:r>
      <w:r>
        <w:rPr>
          <w:rStyle w:val="184"/>
          <w:rFonts w:ascii="Times New Roman" w:hAnsi="Times New Roman"/>
        </w:rPr>
        <w:t xml:space="preserve"> </w:t>
      </w:r>
      <w:r>
        <w:rPr>
          <w:rStyle w:val="184"/>
          <w:rFonts w:ascii="Times New Roman" w:hAnsi="Times New Roman"/>
        </w:rPr>
        <w:t xml:space="preserve">проєкту</w:t>
      </w:r>
      <w:r>
        <w:rPr>
          <w:rStyle w:val="184"/>
          <w:rFonts w:ascii="Times New Roman" w:hAnsi="Times New Roman"/>
        </w:rPr>
        <w:t xml:space="preserve"> рішення </w:t>
      </w:r>
      <w:r>
        <w:rPr>
          <w:rFonts w:ascii="Times New Roman" w:hAnsi="Times New Roman"/>
        </w:rPr>
        <w:t xml:space="preserve">36 сесії </w:t>
      </w:r>
      <w:r>
        <w:rPr>
          <w:rFonts w:ascii="Times New Roman" w:hAnsi="Times New Roman"/>
        </w:rPr>
        <w:t xml:space="preserve">Менської міської ради </w:t>
      </w:r>
      <w:r>
        <w:rPr>
          <w:rFonts w:ascii="Times New Roman" w:hAnsi="Times New Roman"/>
        </w:rPr>
        <w:t xml:space="preserve">7 скликання </w:t>
      </w:r>
      <w:r/>
      <w:r>
        <w:rPr>
          <w:rFonts w:ascii="Times New Roman" w:hAnsi="Times New Roman"/>
        </w:rPr>
        <w:t xml:space="preserve">від 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.12</w:t>
      </w:r>
      <w:r>
        <w:rPr>
          <w:rFonts w:ascii="Times New Roman" w:hAnsi="Times New Roman"/>
        </w:rPr>
        <w:t xml:space="preserve">.2019 №____ 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Про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затвердження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Програми оздоровлення та літнього відпочинку дітей «Різнобарвне літо»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2020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-2022 ро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к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и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»</w:t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48"/>
          <w:szCs w:val="48"/>
          <w:lang w:eastAsia="ru-RU"/>
        </w:rPr>
      </w:pPr>
      <w:r>
        <w:rPr>
          <w:rFonts w:ascii="Times New Roman" w:hAnsi="Times New Roman" w:eastAsia="Batang"/>
          <w:sz w:val="48"/>
          <w:szCs w:val="4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sz w:val="48"/>
          <w:szCs w:val="48"/>
          <w:lang w:eastAsia="ru-RU"/>
        </w:rPr>
      </w:pP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ПРОГРАМА</w:t>
      </w:r>
      <w:r/>
    </w:p>
    <w:p>
      <w:pPr>
        <w:jc w:val="center"/>
        <w:spacing w:lineRule="auto" w:line="240" w:after="120"/>
        <w:rPr>
          <w:rFonts w:ascii="Times New Roman" w:hAnsi="Times New Roman" w:eastAsia="Batang"/>
          <w:b/>
          <w:sz w:val="48"/>
          <w:szCs w:val="48"/>
          <w:lang w:eastAsia="ru-RU"/>
        </w:rPr>
      </w:pP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оздоровлення та літнього відпочинку дітей </w:t>
      </w:r>
      <w:r/>
    </w:p>
    <w:p>
      <w:pPr>
        <w:jc w:val="center"/>
        <w:spacing w:lineRule="auto" w:line="240" w:after="120"/>
        <w:rPr>
          <w:rFonts w:ascii="Times New Roman" w:hAnsi="Times New Roman" w:eastAsia="Batang"/>
          <w:b/>
          <w:iCs/>
          <w:sz w:val="48"/>
          <w:szCs w:val="48"/>
          <w:lang w:eastAsia="ru-RU"/>
        </w:rPr>
      </w:pP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«Різнобарвне </w:t>
      </w: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літо» на 2020</w:t>
      </w: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-2022 ро</w:t>
      </w: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к</w:t>
      </w:r>
      <w:r>
        <w:rPr>
          <w:rFonts w:ascii="Times New Roman" w:hAnsi="Times New Roman" w:eastAsia="Batang"/>
          <w:b/>
          <w:sz w:val="48"/>
          <w:szCs w:val="48"/>
          <w:lang w:eastAsia="ru-RU"/>
        </w:rPr>
        <w:t xml:space="preserve">и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201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рік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br w:type="page"/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І. ПАСПОРТ ПРОГРАМИ </w:t>
      </w:r>
      <w:r/>
    </w:p>
    <w:tbl>
      <w:tblPr>
        <w:tblStyle w:val="176"/>
        <w:tblW w:w="5000" w:type="pct"/>
        <w:tblLook w:val="0000" w:firstRow="0" w:lastRow="0" w:firstColumn="0" w:lastColumn="0" w:noHBand="0" w:noVBand="0"/>
      </w:tblPr>
      <w:tblGrid>
        <w:gridCol w:w="636"/>
        <w:gridCol w:w="3049"/>
        <w:gridCol w:w="2058"/>
        <w:gridCol w:w="2058"/>
        <w:gridCol w:w="2054"/>
      </w:tblGrid>
      <w:tr>
        <w:trPr>
          <w:trHeight w:val="29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2" w:name="20"/>
            <w:r/>
            <w:bookmarkStart w:id="3" w:name="22"/>
            <w:r/>
            <w:bookmarkEnd w:id="2"/>
            <w:r/>
            <w:bookmarkEnd w:id="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4" w:name="23"/>
            <w:r/>
            <w:bookmarkEnd w:id="4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 Програми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5" w:name="24"/>
            <w:r/>
            <w:bookmarkEnd w:id="5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Програма оздоровлення та літнього відпочинку  дітей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«Різнобарвне літо» на 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/>
          </w:p>
        </w:tc>
      </w:tr>
      <w:tr>
        <w:trPr>
          <w:trHeight w:val="661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 </w:t>
            </w:r>
            <w:r/>
          </w:p>
        </w:tc>
      </w:tr>
      <w:tr>
        <w:trPr>
          <w:trHeight w:val="215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Дата, номер і назва документа органу виконавчої влади про розроблення програм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Конвенція ООН «Про права дитини» від 20 листопада 1989 року (ратифікована Україною 27 лютого 1991 року),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Закони України «Про оздоровлення та відпочинок дітей», «Про охорону дитинства»,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Постанова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Кабінету Міністрів України від 22.11.2004 №1591 «Про затвердження норм харчування у навчальних та оздоровчих закладах»</w:t>
            </w:r>
            <w:r/>
          </w:p>
        </w:tc>
      </w:tr>
      <w:tr>
        <w:trPr>
          <w:trHeight w:val="215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6" w:name="25"/>
            <w:r/>
            <w:bookmarkStart w:id="7" w:name="28"/>
            <w:r/>
            <w:bookmarkEnd w:id="6"/>
            <w:r/>
            <w:bookmarkEnd w:id="7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8" w:name="29"/>
            <w:r/>
            <w:bookmarkEnd w:id="8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9" w:name="30"/>
            <w:r/>
            <w:bookmarkEnd w:id="9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</w:t>
            </w:r>
            <w:r/>
          </w:p>
        </w:tc>
      </w:tr>
      <w:tr>
        <w:trPr>
          <w:trHeight w:val="582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0" w:name="31"/>
            <w:r/>
            <w:bookmarkStart w:id="11" w:name="34"/>
            <w:r/>
            <w:bookmarkEnd w:id="10"/>
            <w:r/>
            <w:bookmarkEnd w:id="11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2" w:name="35"/>
            <w:r/>
            <w:bookmarkEnd w:id="12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3" w:name="36"/>
            <w:r/>
            <w:bookmarkEnd w:id="1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</w:t>
            </w:r>
            <w:r/>
          </w:p>
        </w:tc>
      </w:tr>
      <w:tr>
        <w:trPr>
          <w:trHeight w:val="1983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4" w:name="37"/>
            <w:r/>
            <w:bookmarkEnd w:id="14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5" w:name="38"/>
            <w:r/>
            <w:bookmarkEnd w:id="15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16" w:name="39"/>
            <w:r/>
            <w:bookmarkEnd w:id="16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ідділ освіти Менської міської ради, сектор сім’ї, молоді та спорту Менської міської ради, </w:t>
            </w:r>
            <w:r>
              <w:rPr>
                <w:rStyle w:val="177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Менське районне управління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Держпродспоживслужби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Чернігівській області, Менський районний відділ ДСНС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заклади освіти Менської міської ради</w:t>
            </w:r>
            <w:r/>
          </w:p>
        </w:tc>
      </w:tr>
      <w:tr>
        <w:trPr>
          <w:trHeight w:val="469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Дія Програми</w:t>
            </w:r>
            <w:r/>
          </w:p>
        </w:tc>
        <w:tc>
          <w:tcPr>
            <w:gridSpan w:val="3"/>
            <w:tcW w:w="313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об’єднаної територіальної громади</w:t>
            </w:r>
            <w:r/>
          </w:p>
        </w:tc>
      </w:tr>
      <w:tr>
        <w:trPr/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/>
            <w:bookmarkStart w:id="17" w:name="40"/>
            <w:r/>
            <w:bookmarkStart w:id="18" w:name="43"/>
            <w:r/>
            <w:bookmarkEnd w:id="17"/>
            <w:r/>
            <w:bookmarkEnd w:id="18"/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Термін реалізації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Програми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rPr>
                <w:rFonts w:ascii="Times New Roman" w:hAnsi="Times New Roman" w:eastAsia="Batang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2020 рік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 (тис.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)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rPr>
                <w:rFonts w:ascii="Times New Roman" w:hAnsi="Times New Roman" w:eastAsia="Batang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2021 рік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 (тис.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)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rPr>
                <w:rFonts w:ascii="Times New Roman" w:hAnsi="Times New Roman" w:eastAsia="Batang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2022 рік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(тис.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rHeight w:val="1989"/>
        </w:trPr>
        <w:tc>
          <w:tcPr>
            <w:tcW w:w="32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/>
            <w:bookmarkStart w:id="19" w:name="46"/>
            <w:r/>
            <w:bookmarkEnd w:id="19"/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20" w:name="47"/>
            <w:r/>
            <w:bookmarkEnd w:id="20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Програми, всього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 тому числі: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21" w:name="467"/>
            <w:r/>
            <w:bookmarkEnd w:id="21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378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453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 6 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544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 32 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9.1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22" w:name="48"/>
            <w:r/>
            <w:bookmarkEnd w:id="22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бюджету Менської ОТГ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/>
            <w:bookmarkStart w:id="23" w:name="49"/>
            <w:r/>
            <w:bookmarkEnd w:id="2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378,0 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453, 6 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544, 32 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9.2.</w:t>
            </w:r>
            <w:r/>
          </w:p>
        </w:tc>
        <w:tc>
          <w:tcPr>
            <w:tcW w:w="1547" w:type="pct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кошти спеціального фонду (спонсорські кошти, надходження благодійних внесків від батьків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натуральній формі, інші джерела коштів, не заборонених законодавством)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rStyle w:val="185"/>
                <w:rFonts w:ascii="Times New Roman" w:hAnsi="Times New Roman"/>
                <w:sz w:val="28"/>
                <w:szCs w:val="28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rStyle w:val="185"/>
                <w:rFonts w:ascii="Times New Roman" w:hAnsi="Times New Roman"/>
                <w:sz w:val="28"/>
                <w:szCs w:val="28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eastAsia="Batang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bCs/>
          <w:sz w:val="28"/>
          <w:szCs w:val="28"/>
          <w:lang w:eastAsia="ru-RU"/>
        </w:rPr>
        <w:t xml:space="preserve">ІІ. Визначення проблеми, на розв’язання якої спрямована Програма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Упродовж останніх років зберігається тенденція до погіршення стану здоров’я дітей, яка обумовлена впливом різних негативних факторів соціально-економічного, екологічного та психоемоційного характеру.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Тому збереження здоров'я дітей України, відновлення їх життєвих сил шляхом організації якісного, повноцінного оздоровлення та відпочинку є важливим напрямком державної політики на сучасному етапі.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Останні роки особлива </w:t>
      </w:r>
      <w:r>
        <w:rPr>
          <w:sz w:val="28"/>
          <w:szCs w:val="28"/>
        </w:rPr>
        <w:t xml:space="preserve">увага приділяється оздоровленню та літньому відпочинку </w:t>
      </w:r>
      <w:r>
        <w:rPr>
          <w:sz w:val="28"/>
          <w:szCs w:val="28"/>
        </w:rPr>
        <w:t xml:space="preserve">дітей, які потребують соціального захисту. </w:t>
      </w:r>
      <w:r>
        <w:rPr>
          <w:rFonts w:eastAsia="Batang"/>
          <w:sz w:val="28"/>
          <w:szCs w:val="28"/>
          <w:lang w:eastAsia="ru-RU"/>
        </w:rPr>
        <w:t xml:space="preserve">З урахуванням складної та небезпечної ситуації, що склалася на сході країни у зв’язку з проведенням там антитерористичної операції, прогнозованим є розширення переліку категорій дітей та, відповідно, зростання потреби у</w:t>
      </w:r>
      <w:r>
        <w:rPr>
          <w:rFonts w:eastAsia="Batang"/>
          <w:sz w:val="28"/>
          <w:szCs w:val="28"/>
          <w:lang w:eastAsia="ru-RU"/>
        </w:rPr>
        <w:t xml:space="preserve"> забезпеченні відпочинковими та оздоровчими послугами учнів закладів загальної середньої освіти</w:t>
      </w:r>
      <w:r>
        <w:rPr>
          <w:rFonts w:eastAsia="Batang"/>
          <w:sz w:val="28"/>
          <w:szCs w:val="28"/>
          <w:lang w:eastAsia="ru-RU"/>
        </w:rPr>
        <w:t xml:space="preserve">.</w:t>
      </w:r>
      <w:r>
        <w:rPr>
          <w:rFonts w:eastAsia="Batang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Не залишається поза увагою й оздоровлення та відпочинок дітей обдарованих, талановитих, лідерів учнівського самоврядування.</w:t>
      </w:r>
      <w:r/>
    </w:p>
    <w:p>
      <w:pPr>
        <w:ind w:firstLine="360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Влітку 2019 року в 15 пришкільних таборах Менської міської ОТГ</w:t>
      </w:r>
      <w:r>
        <w:rPr>
          <w:rFonts w:ascii="Times New Roman" w:hAnsi="Times New Roman"/>
          <w:sz w:val="28"/>
          <w:szCs w:val="28"/>
        </w:rPr>
        <w:t xml:space="preserve"> протягом 14 відпочинкових днів</w:t>
      </w:r>
      <w:r>
        <w:rPr>
          <w:rFonts w:ascii="Times New Roman" w:hAnsi="Times New Roman"/>
          <w:sz w:val="28"/>
          <w:szCs w:val="28"/>
        </w:rPr>
        <w:t xml:space="preserve"> було забезпечено  відпочинковими послугами 758 здобувачів освіти. З них учні  наступних категорій: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– сироти, діти, позбавлені батьківського піклування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з інвалідністю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14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з багатодітних сімей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140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з малозабезпечених сімей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діти,постраждалі внаслідок Чорнобильської катастрофи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діти,які постраждали внаслідок стихійного лиха, техногенних аварій, катастроф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діти, батьки яких загинули від нещасних випадків на виробництві або під час виконання службових обов’язків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діти, які перебувають на диспансерному обліку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77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талановиті та обдаровані діти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157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бездоглядні та безпритульні діти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працівників агропромислового комплексу та соціальної сфери села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146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внутрішньо переміщених осіб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осіб, визнаних учасниками бойових дій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34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загиблих у районі проведення АТО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діти загиблих учасників масових акцій громадянського протесту – 0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175"/>
        <w:ind w:firstLine="720"/>
        <w:jc w:val="both"/>
        <w:spacing w:after="0" w:afterAutospacing="0" w:before="0" w:beforeAutospacing="0"/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Кількість дітей, які охоплюються відпочинковими та оздоровчими послугами щороку збільшується</w:t>
      </w:r>
      <w:r>
        <w:rPr>
          <w:sz w:val="28"/>
          <w:szCs w:val="28"/>
          <w:shd w:val="clear" w:color="auto" w:fill="FFFFFF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Іншомовне середовище для учнів під гаслом «канікули з користю» забезпечували  17 учителів англійської мови,  залучаючи школярів до мовних вікторин, спортивних естафет, інтерактивних ігор, драматизації улюблених казок. 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 2019</w:t>
      </w:r>
      <w:r>
        <w:rPr>
          <w:sz w:val="28"/>
          <w:szCs w:val="28"/>
          <w:shd w:val="clear" w:color="auto" w:fill="FFFFFF"/>
        </w:rPr>
        <w:t xml:space="preserve"> році вартість харчування у пришкільних таборах</w:t>
      </w:r>
      <w:r>
        <w:rPr>
          <w:sz w:val="28"/>
          <w:szCs w:val="28"/>
          <w:shd w:val="clear" w:color="auto" w:fill="FFFFFF"/>
        </w:rPr>
        <w:t xml:space="preserve"> відпочинку становила 29,68 </w:t>
      </w:r>
      <w:r>
        <w:rPr>
          <w:sz w:val="28"/>
          <w:szCs w:val="28"/>
          <w:shd w:val="clear" w:color="auto" w:fill="FFFFFF"/>
        </w:rPr>
        <w:t xml:space="preserve">грн</w:t>
      </w:r>
      <w:r>
        <w:rPr>
          <w:sz w:val="28"/>
          <w:szCs w:val="28"/>
          <w:shd w:val="clear" w:color="auto" w:fill="FFFFFF"/>
        </w:rPr>
        <w:t xml:space="preserve"> в день на одного учня.</w:t>
      </w:r>
      <w:r/>
    </w:p>
    <w:p>
      <w:pPr>
        <w:pStyle w:val="175"/>
        <w:ind w:left="567"/>
        <w:jc w:val="both"/>
        <w:spacing w:after="0" w:afterAutospacing="0" w:before="0" w:beforeAutospacing="0"/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Всі кошти спрямовуються на організацію харчування здобувачів освіти.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обрахуванні розрахункових показників на організацію літнього оздоровлення та відпочинку</w:t>
      </w:r>
      <w:r>
        <w:rPr>
          <w:sz w:val="28"/>
          <w:szCs w:val="28"/>
          <w:lang w:eastAsia="ru-RU"/>
        </w:rPr>
        <w:t xml:space="preserve"> дітей в пришкільних таборах</w:t>
      </w:r>
      <w:r>
        <w:rPr>
          <w:sz w:val="28"/>
          <w:szCs w:val="28"/>
          <w:lang w:eastAsia="ru-RU"/>
        </w:rPr>
        <w:t xml:space="preserve"> враховувалося</w:t>
      </w:r>
      <w:r>
        <w:rPr>
          <w:sz w:val="28"/>
          <w:szCs w:val="28"/>
          <w:lang w:eastAsia="ru-RU"/>
        </w:rPr>
        <w:t xml:space="preserve"> підвищення цін на продукти харчування, тривал</w:t>
      </w:r>
      <w:r>
        <w:rPr>
          <w:sz w:val="28"/>
          <w:szCs w:val="28"/>
          <w:lang w:eastAsia="ru-RU"/>
        </w:rPr>
        <w:t xml:space="preserve">ість відпочинкової зміни</w:t>
      </w:r>
      <w:r>
        <w:rPr>
          <w:sz w:val="28"/>
          <w:szCs w:val="28"/>
          <w:lang w:eastAsia="ru-RU"/>
        </w:rPr>
        <w:t xml:space="preserve">, кількість здобувачів освіти, які будуть ох</w:t>
      </w:r>
      <w:r>
        <w:rPr>
          <w:sz w:val="28"/>
          <w:szCs w:val="28"/>
          <w:lang w:eastAsia="ru-RU"/>
        </w:rPr>
        <w:t xml:space="preserve">оплені відпочинковими послугами та вартість харчування однієї дитини в день (2020 рік – 35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, 2021 рік – 40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, 2022 </w:t>
      </w:r>
      <w:r>
        <w:rPr>
          <w:sz w:val="28"/>
          <w:szCs w:val="28"/>
          <w:lang w:eastAsia="ru-RU"/>
        </w:rPr>
        <w:t xml:space="preserve">рік-</w:t>
      </w:r>
      <w:r>
        <w:rPr>
          <w:sz w:val="28"/>
          <w:szCs w:val="28"/>
          <w:lang w:eastAsia="ru-RU"/>
        </w:rPr>
        <w:t xml:space="preserve"> 45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).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sz w:val="28"/>
          <w:szCs w:val="28"/>
        </w:rPr>
        <w:t xml:space="preserve">програма створена для розв’язання наступної проблеми: створення сприятливих умов та реалізація права на якісне оздоровлення і відпочинок дітей в пришкільних таборах при закладах загальної середньої освіти Менської об’єднаної територіальної громади.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bCs/>
          <w:sz w:val="28"/>
          <w:szCs w:val="28"/>
          <w:lang w:eastAsia="ru-RU"/>
        </w:rPr>
        <w:t xml:space="preserve">ІІІ. Мета Програми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Метою Програми є: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створення належних умов для оздоровлення та повноцінного відпочинку дітей в пришкільних таборах Менської об’єднаної територіальної громади;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збільшення кількості дітей громади, охоплених організованими формами відпочинку та оздоровлення;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створення умов для зміцнення фізичного та психічного здоров’я дітей шляхом належної організації відпочинку в пришкільних таборах;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надання послуг з відпочинку дітям, які потребують особливо</w:t>
      </w:r>
      <w:r>
        <w:rPr>
          <w:sz w:val="28"/>
          <w:szCs w:val="28"/>
        </w:rPr>
        <w:t xml:space="preserve">ї соціальної уваги та підтримки;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</w:pPr>
      <w:r>
        <w:rPr>
          <w:sz w:val="28"/>
          <w:szCs w:val="28"/>
        </w:rPr>
        <w:t xml:space="preserve">формування та пропаганда здорового і безпечного способу життя</w:t>
      </w:r>
      <w:r>
        <w:rPr>
          <w:sz w:val="28"/>
          <w:szCs w:val="28"/>
        </w:rPr>
        <w:t xml:space="preserve">.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ІV.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еалізація Програми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Прийняття цієї Програми дозволить поступово вирішити проблеми у сфері оздоровлення та літнього відпочинку дітей.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Програма передбачає протягом 2020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-2022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рок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здійснення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комплекс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заходів щодо створення умов для належної організації оздоровлення і літнього відпочинку дітей шляхом: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організації та проведення семінарів для директорів, інших уповноважених осіб закладів літнього відпочинку (пришкільних таборів);</w:t>
      </w:r>
      <w:r/>
    </w:p>
    <w:p>
      <w:pPr>
        <w:pStyle w:val="175"/>
        <w:numPr>
          <w:ilvl w:val="0"/>
          <w:numId w:val="2"/>
        </w:numPr>
        <w:ind w:left="0"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забезпечення дітей відпочинковими послугами у пришкільних таборах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179"/>
        <w:jc w:val="center"/>
        <w:spacing w:after="0" w:afterAutospacing="0" w:before="0" w:beforeAutospacing="0"/>
      </w:pPr>
      <w:r>
        <w:rPr>
          <w:rFonts w:eastAsia="Batang"/>
          <w:b/>
          <w:sz w:val="28"/>
          <w:szCs w:val="28"/>
          <w:lang w:eastAsia="ru-RU"/>
        </w:rPr>
        <w:t xml:space="preserve">V. </w:t>
      </w:r>
      <w:r>
        <w:rPr>
          <w:b/>
          <w:bCs/>
          <w:sz w:val="28"/>
          <w:szCs w:val="28"/>
        </w:rPr>
        <w:t xml:space="preserve">Фінансове забезпечення Програми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Прогнозований обсяг фінансових ресур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сів на 2020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-2022 ро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:</w:t>
      </w:r>
      <w:r/>
    </w:p>
    <w:tbl>
      <w:tblPr>
        <w:tblStyle w:val="176"/>
        <w:tblW w:w="0" w:type="auto"/>
        <w:tblLook w:val="04A0" w:firstRow="1" w:lastRow="0" w:firstColumn="1" w:lastColumn="0" w:noHBand="0" w:noVBand="1"/>
      </w:tblPr>
      <w:tblGrid>
        <w:gridCol w:w="2093"/>
        <w:gridCol w:w="2817"/>
        <w:gridCol w:w="2455"/>
        <w:gridCol w:w="2455"/>
      </w:tblGrid>
      <w:tr>
        <w:trPr>
          <w:trHeight w:val="57"/>
        </w:trPr>
        <w:tc>
          <w:tcPr>
            <w:tcW w:w="209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8"/>
                <w:lang w:eastAsia="uk-UA"/>
              </w:rPr>
              <w:t xml:space="preserve">Рік</w:t>
            </w:r>
            <w:r/>
          </w:p>
        </w:tc>
        <w:tc>
          <w:tcPr>
            <w:tcW w:w="28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8"/>
                <w:lang w:eastAsia="uk-UA"/>
              </w:rPr>
              <w:t xml:space="preserve">Місцевий бюджет (тис. грн.)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8"/>
                <w:lang w:eastAsia="uk-UA"/>
              </w:rPr>
              <w:t xml:space="preserve">Інші джерела фінансування (тис. грн.)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8"/>
                <w:lang w:eastAsia="uk-UA"/>
              </w:rPr>
              <w:t xml:space="preserve">Всього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8"/>
                <w:lang w:eastAsia="uk-UA"/>
              </w:rPr>
              <w:t xml:space="preserve">(тис. грн.)</w:t>
            </w:r>
            <w:r/>
          </w:p>
        </w:tc>
      </w:tr>
      <w:tr>
        <w:trPr>
          <w:trHeight w:val="57"/>
        </w:trPr>
        <w:tc>
          <w:tcPr>
            <w:tcW w:w="209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20</w:t>
            </w:r>
            <w:r/>
          </w:p>
        </w:tc>
        <w:tc>
          <w:tcPr>
            <w:tcW w:w="28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378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,0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-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378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,0</w:t>
            </w:r>
            <w:r/>
          </w:p>
        </w:tc>
      </w:tr>
      <w:tr>
        <w:trPr>
          <w:trHeight w:val="57"/>
        </w:trPr>
        <w:tc>
          <w:tcPr>
            <w:tcW w:w="209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2021</w:t>
            </w:r>
            <w:r/>
          </w:p>
        </w:tc>
        <w:tc>
          <w:tcPr>
            <w:tcW w:w="28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453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,6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-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453,6</w:t>
            </w:r>
            <w:r/>
          </w:p>
        </w:tc>
      </w:tr>
      <w:tr>
        <w:trPr>
          <w:trHeight w:val="57"/>
        </w:trPr>
        <w:tc>
          <w:tcPr>
            <w:tcW w:w="209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2022</w:t>
            </w:r>
            <w:r/>
          </w:p>
        </w:tc>
        <w:tc>
          <w:tcPr>
            <w:tcW w:w="28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544,</w:t>
            </w: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-</w:t>
            </w:r>
            <w:r/>
          </w:p>
        </w:tc>
        <w:tc>
          <w:tcPr>
            <w:tcW w:w="24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Style w:val="185"/>
                <w:rFonts w:ascii="Times New Roman" w:hAnsi="Times New Roman"/>
                <w:sz w:val="28"/>
                <w:szCs w:val="28"/>
              </w:rPr>
              <w:t xml:space="preserve">544, 3</w:t>
            </w:r>
            <w:r/>
          </w:p>
        </w:tc>
      </w:tr>
    </w:tbl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VI. Очікувані результати Програми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Style w:val="177"/>
          <w:rFonts w:ascii="Times New Roman" w:hAnsi="Times New Roman"/>
          <w:sz w:val="28"/>
          <w:szCs w:val="28"/>
        </w:rPr>
        <w:t xml:space="preserve">У результаті реалізації заходів Програми очікується збільшення кількості дітей, учнівської молоді, яким надаються послуги з літнього відпочинку в пришкільних таборах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Збільшення кількості дітей охоп</w:t>
      </w:r>
      <w:r>
        <w:rPr>
          <w:sz w:val="28"/>
          <w:szCs w:val="28"/>
        </w:rPr>
        <w:t xml:space="preserve">лених відпочинковими послугами в пришкільних таборах</w:t>
      </w:r>
      <w:r>
        <w:rPr>
          <w:sz w:val="28"/>
          <w:szCs w:val="28"/>
        </w:rPr>
        <w:t xml:space="preserve">.</w:t>
      </w:r>
      <w:r/>
    </w:p>
    <w:p>
      <w:pPr>
        <w:pStyle w:val="175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Повноцінне оздоровлення та відпочинок дітей, зміцнення здоров’я дитячого населення Менської об’єднаної  територіальної громади.</w:t>
      </w:r>
      <w:r/>
    </w:p>
    <w:p>
      <w:pPr>
        <w:pStyle w:val="180"/>
        <w:jc w:val="center"/>
        <w:spacing w:after="0" w:afterAutospacing="0" w:before="0" w:beforeAutospacing="0"/>
      </w:pPr>
      <w:r>
        <w:rPr>
          <w:b/>
          <w:sz w:val="28"/>
          <w:szCs w:val="28"/>
          <w:lang w:eastAsia="ru-RU"/>
        </w:rPr>
        <w:t xml:space="preserve">VIІ. </w:t>
      </w:r>
      <w:r>
        <w:rPr>
          <w:b/>
          <w:bCs/>
          <w:sz w:val="28"/>
          <w:szCs w:val="28"/>
        </w:rPr>
        <w:t xml:space="preserve">Управління та контроль за ходом виконання Програми</w:t>
      </w:r>
      <w:r/>
    </w:p>
    <w:p>
      <w:pPr>
        <w:pStyle w:val="175"/>
        <w:ind w:firstLine="708"/>
        <w:jc w:val="both"/>
        <w:spacing w:after="0" w:afterAutospacing="0" w:before="0" w:beforeAutospacing="0"/>
      </w:pPr>
      <w:r>
        <w:rPr>
          <w:sz w:val="28"/>
          <w:szCs w:val="28"/>
          <w:shd w:val="clear" w:color="auto" w:fill="FFFFFF"/>
        </w:rPr>
        <w:t xml:space="preserve">Головним виконавцем Програми є відділ освіти Менської міської ради. Контроль за її виконанням здійснює виконавчий комітет міської ради.</w:t>
      </w:r>
      <w:r/>
    </w:p>
    <w:p>
      <w:pPr>
        <w:ind w:left="-141"/>
        <w:jc w:val="center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val="en-US" w:eastAsia="ru-RU"/>
        </w:rPr>
        <w:t xml:space="preserve">VIII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. Напрямки діяльності та основні заходи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Програми оздоровлення та літнього відпочинку дітей в пришкільних таборах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на 2020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-2022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</w:r>
      <w:r/>
    </w:p>
    <w:tbl>
      <w:tblPr>
        <w:tblStyle w:val="176"/>
        <w:tblW w:w="9889" w:type="dxa"/>
        <w:tblLayout w:type="fixed"/>
        <w:tblLook w:val="04A0" w:firstRow="1" w:lastRow="0" w:firstColumn="1" w:lastColumn="0" w:noHBand="0" w:noVBand="1"/>
      </w:tblPr>
      <w:tblGrid>
        <w:gridCol w:w="518"/>
        <w:gridCol w:w="4268"/>
        <w:gridCol w:w="1701"/>
        <w:gridCol w:w="1134"/>
        <w:gridCol w:w="1276"/>
        <w:gridCol w:w="992"/>
      </w:tblGrid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№з/п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Зміст заходу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Виконавці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Термін виконання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Джерела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16"/>
                <w:szCs w:val="1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8"/>
                <w:lang w:eastAsia="uk-UA"/>
              </w:rPr>
              <w:t xml:space="preserve">Обсяги фінансування (тис. грн.)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Організація відпочинку дітей шкільного віку в закладах з денним перебуванням, створених на базі закладів загальної середньої освіти Менської об’єднаної територіальної громади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 (організація щоденного харчування учнів).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ради, дирекція закладів загальної середньої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Місцевий бюджет, інші джерела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378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,0 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453,6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Style w:val="185"/>
                <w:rFonts w:ascii="Times New Roman" w:hAnsi="Times New Roman"/>
                <w:sz w:val="20"/>
                <w:szCs w:val="20"/>
              </w:rPr>
              <w:t xml:space="preserve">544, 3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2.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Забезпечення впродовж літніх канікул оздоровлення та відпочинку в пришкільних таборах  дітей, які потребують особливої соціальної уваги та підтримки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Місцевий бюджет, інші джерела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3.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Недопущення відкриття закладів відпочинку створених на базі закладів загальної середньої освіти, без актів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готовності.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ради, 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Менське районне управління 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Держпрод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споживслужби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 в Чернігівській області, Менський районний відділ ДСНС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Місцевий бюджет, інші джерела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4.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Batang"/>
                <w:lang w:eastAsia="ru-RU"/>
              </w:rPr>
              <w:t xml:space="preserve">Сприяння забез</w:t>
            </w:r>
            <w:r>
              <w:rPr>
                <w:rFonts w:ascii="Times New Roman" w:hAnsi="Times New Roman" w:eastAsia="Batang"/>
                <w:lang w:eastAsia="ru-RU"/>
              </w:rPr>
              <w:t xml:space="preserve">печенню безперебійного </w:t>
            </w:r>
            <w:r>
              <w:rPr>
                <w:rFonts w:ascii="Times New Roman" w:hAnsi="Times New Roman" w:eastAsia="Batang"/>
                <w:lang w:eastAsia="ru-RU"/>
              </w:rPr>
              <w:t xml:space="preserve">електро-</w:t>
            </w:r>
            <w:r>
              <w:rPr>
                <w:rFonts w:ascii="Times New Roman" w:hAnsi="Times New Roman" w:eastAsia="Batang"/>
                <w:lang w:eastAsia="ru-RU"/>
              </w:rPr>
              <w:t xml:space="preserve">  та</w:t>
            </w:r>
            <w:r>
              <w:rPr>
                <w:rFonts w:ascii="Times New Roman" w:hAnsi="Times New Roman" w:eastAsia="Batang"/>
                <w:lang w:eastAsia="ru-RU"/>
              </w:rPr>
              <w:t xml:space="preserve"> водопостачання </w:t>
            </w:r>
            <w:r>
              <w:rPr>
                <w:rFonts w:ascii="Times New Roman" w:hAnsi="Times New Roman" w:eastAsia="Batang"/>
                <w:lang w:eastAsia="ru-RU"/>
              </w:rPr>
              <w:t xml:space="preserve">пришкільних таборів </w:t>
            </w:r>
            <w:r>
              <w:rPr>
                <w:rFonts w:ascii="Times New Roman" w:hAnsi="Times New Roman" w:eastAsia="Batang"/>
                <w:lang w:eastAsia="ru-RU"/>
              </w:rPr>
              <w:t xml:space="preserve">відпочинку на базі закладів загальної середньої освіти</w:t>
            </w:r>
            <w:r>
              <w:rPr>
                <w:rFonts w:ascii="Times New Roman" w:hAnsi="Times New Roman" w:eastAsia="Batang"/>
                <w:lang w:eastAsia="ru-RU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5.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Проведення нарад з питань підготовки та проведення відпочинкової кампанії в пришкільних таборах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6.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Організація в літній період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контролю за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дотриманням санітарних норм та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які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стю харчування дітей в закладах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 відпочинку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ради,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 Менське районне управління 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Держпрод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споживслужби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uk-UA"/>
              </w:rPr>
              <w:t xml:space="preserve"> в Чернігівській області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7.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Забезпечення змістовного дозвілля, проведення культурно-масових та фізкультурно-спортивних заходів в закладах відпочинку на базі закладів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загальної середньої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освіти, відділ культури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8.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ind w:right="-82"/>
              <w:spacing w:lineRule="auto" w:line="240" w:after="0"/>
              <w:rPr>
                <w:rFonts w:ascii="Times New Roman" w:hAnsi="Times New Roman" w:eastAsia="Batang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Забезпечення відпочинковими послугами дітей, що потребують особливої соціальної уваги та підтримки: дітей-сиріт та дітей, позбавлених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батьківськ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ого піклування; дітей з інвалі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дністю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; дітей з багатодітних та малозабезпечених  сімей; талановитих та обдарованих дітей;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дітей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, які постраждали внаслідок стихійного лиха, техногенних аварій, катастроф; дітей, батьки яких загинули від нещасних випадків на виробництві/або під час виконання службових обов’язків; діти працівників агропромислового комплексу та соціальної сфери села; ді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тей, що перебувають на диспансерному обліку; безпритульних та бездоглядних дітей; 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дітей</w:t>
            </w:r>
            <w:r>
              <w:rPr>
                <w:rFonts w:ascii="Times New Roman" w:hAnsi="Times New Roman" w:eastAsia="Batang"/>
                <w:sz w:val="24"/>
                <w:szCs w:val="24"/>
                <w:lang w:eastAsia="ru-RU"/>
              </w:rPr>
              <w:t xml:space="preserve"> внутрішньо переміщених осіб; дітей, батьки яких загинули, постраждали, брали участь у проведенні АТО та беруть участь у проведенні ООС.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ради, директори закладів загальної середньої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"/>
        </w:trPr>
        <w:tc>
          <w:tcPr>
            <w:tcW w:w="5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9.</w:t>
            </w:r>
            <w:r/>
          </w:p>
        </w:tc>
        <w:tc>
          <w:tcPr>
            <w:tcW w:w="42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Забезпечення впровадження системи національного-патріотичного виховання, вдосконалення знань іноземної мови </w:t>
            </w:r>
            <w:r>
              <w:rPr>
                <w:rFonts w:ascii="Times New Roman" w:hAnsi="Times New Roman" w:eastAsia="Times New Roman"/>
                <w:spacing w:val="0"/>
                <w:sz w:val="24"/>
                <w:szCs w:val="24"/>
                <w:lang w:eastAsia="ru-RU"/>
              </w:rPr>
              <w:t xml:space="preserve">в закладах відпочинку на базі закладів загальної середньої освіти Менської об’єднаної територіальної громади</w:t>
            </w:r>
            <w:r>
              <w:rPr>
                <w:rFonts w:ascii="Times New Roman" w:hAnsi="Times New Roman" w:eastAsia="Times New Roman"/>
                <w:spacing w:val="0"/>
                <w:sz w:val="24"/>
                <w:szCs w:val="24"/>
                <w:lang w:eastAsia="ru-RU"/>
              </w:rPr>
              <w:t xml:space="preserve">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Відділ освіти Менської міської ради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7"/>
        </w:trPr>
        <w:tc>
          <w:tcPr>
            <w:gridSpan w:val="5"/>
            <w:tcW w:w="8897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uk-UA"/>
              </w:rPr>
              <w:t xml:space="preserve">ВСЬОГО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1375,9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type w:val="nextPage"/>
      <w:pgSz w:w="11906" w:h="16838"/>
      <w:pgMar w:top="850" w:right="850" w:bottom="850" w:left="1417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Symbol">
    <w:panose1 w:val="05010000000000000000"/>
  </w:font>
  <w:font w:name="Wingdings">
    <w:panose1 w:val="05030102010509060703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59"/>
      </w:pPr>
      <w:rPr>
        <w:rFonts w:ascii="Times New Roman" w:hAnsi="Times New Roman" w:cs="Times New Roman" w:eastAsia="Times New Roman" w:hint="default"/>
        <w:color w:val="000000"/>
        <w:sz w:val="22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800" w:hanging="359"/>
      </w:pPr>
    </w:lvl>
    <w:lvl w:ilvl="2">
      <w:start w:val="1"/>
      <w:numFmt w:val="lowerRoman"/>
      <w:suff w:val="tab"/>
      <w:lvlText w:val="%3."/>
      <w:lvlJc w:val="right"/>
      <w:pPr>
        <w:ind w:left="2520" w:hanging="179"/>
      </w:pPr>
    </w:lvl>
    <w:lvl w:ilvl="3">
      <w:start w:val="1"/>
      <w:numFmt w:val="decimal"/>
      <w:suff w:val="tab"/>
      <w:lvlText w:val="%4."/>
      <w:lvlJc w:val="left"/>
      <w:pPr>
        <w:ind w:left="3240" w:hanging="359"/>
      </w:pPr>
    </w:lvl>
    <w:lvl w:ilvl="4">
      <w:start w:val="1"/>
      <w:numFmt w:val="lowerLetter"/>
      <w:suff w:val="tab"/>
      <w:lvlText w:val="%5."/>
      <w:lvlJc w:val="left"/>
      <w:pPr>
        <w:ind w:left="3960" w:hanging="359"/>
      </w:pPr>
    </w:lvl>
    <w:lvl w:ilvl="5">
      <w:start w:val="1"/>
      <w:numFmt w:val="lowerRoman"/>
      <w:suff w:val="tab"/>
      <w:lvlText w:val="%6."/>
      <w:lvlJc w:val="right"/>
      <w:pPr>
        <w:ind w:left="4680" w:hanging="179"/>
      </w:pPr>
    </w:lvl>
    <w:lvl w:ilvl="6">
      <w:start w:val="1"/>
      <w:numFmt w:val="decimal"/>
      <w:suff w:val="tab"/>
      <w:lvlText w:val="%7."/>
      <w:lvlJc w:val="left"/>
      <w:pPr>
        <w:ind w:left="5400" w:hanging="359"/>
      </w:pPr>
    </w:lvl>
    <w:lvl w:ilvl="7">
      <w:start w:val="1"/>
      <w:numFmt w:val="lowerLetter"/>
      <w:suff w:val="tab"/>
      <w:lvlText w:val="%8."/>
      <w:lvlJc w:val="left"/>
      <w:pPr>
        <w:ind w:left="6120" w:hanging="359"/>
      </w:pPr>
    </w:lvl>
    <w:lvl w:ilvl="8">
      <w:start w:val="1"/>
      <w:numFmt w:val="lowerRoman"/>
      <w:suff w:val="tab"/>
      <w:lvlText w:val="%9."/>
      <w:lvlJc w:val="right"/>
      <w:pPr>
        <w:ind w:left="6840" w:hanging="179"/>
      </w:p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59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59"/>
        <w:tabs>
          <w:tab w:val="left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  <w:tabs>
          <w:tab w:val="left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  <w:tabs>
          <w:tab w:val="left" w:pos="2160" w:leader="none"/>
        </w:tabs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  <w:tabs>
          <w:tab w:val="left" w:pos="2880" w:leader="none"/>
        </w:tabs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  <w:tabs>
          <w:tab w:val="left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  <w:tabs>
          <w:tab w:val="left" w:pos="4320" w:leader="none"/>
        </w:tabs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  <w:tabs>
          <w:tab w:val="left" w:pos="5040" w:leader="none"/>
        </w:tabs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  <w:tabs>
          <w:tab w:val="left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  <w:tabs>
          <w:tab w:val="left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800" w:hanging="359"/>
      </w:pPr>
    </w:lvl>
    <w:lvl w:ilvl="2">
      <w:start w:val="1"/>
      <w:numFmt w:val="lowerRoman"/>
      <w:suff w:val="tab"/>
      <w:lvlText w:val="%3."/>
      <w:lvlJc w:val="right"/>
      <w:pPr>
        <w:ind w:left="2520" w:hanging="179"/>
      </w:pPr>
    </w:lvl>
    <w:lvl w:ilvl="3">
      <w:start w:val="1"/>
      <w:numFmt w:val="decimal"/>
      <w:suff w:val="tab"/>
      <w:lvlText w:val="%4."/>
      <w:lvlJc w:val="left"/>
      <w:pPr>
        <w:ind w:left="3240" w:hanging="359"/>
      </w:pPr>
    </w:lvl>
    <w:lvl w:ilvl="4">
      <w:start w:val="1"/>
      <w:numFmt w:val="lowerLetter"/>
      <w:suff w:val="tab"/>
      <w:lvlText w:val="%5."/>
      <w:lvlJc w:val="left"/>
      <w:pPr>
        <w:ind w:left="3960" w:hanging="359"/>
      </w:pPr>
    </w:lvl>
    <w:lvl w:ilvl="5">
      <w:start w:val="1"/>
      <w:numFmt w:val="lowerRoman"/>
      <w:suff w:val="tab"/>
      <w:lvlText w:val="%6."/>
      <w:lvlJc w:val="right"/>
      <w:pPr>
        <w:ind w:left="4680" w:hanging="179"/>
      </w:pPr>
    </w:lvl>
    <w:lvl w:ilvl="6">
      <w:start w:val="1"/>
      <w:numFmt w:val="decimal"/>
      <w:suff w:val="tab"/>
      <w:lvlText w:val="%7."/>
      <w:lvlJc w:val="left"/>
      <w:pPr>
        <w:ind w:left="5400" w:hanging="359"/>
      </w:pPr>
    </w:lvl>
    <w:lvl w:ilvl="7">
      <w:start w:val="1"/>
      <w:numFmt w:val="lowerLetter"/>
      <w:suff w:val="tab"/>
      <w:lvlText w:val="%8."/>
      <w:lvlJc w:val="left"/>
      <w:pPr>
        <w:ind w:left="6120" w:hanging="359"/>
      </w:pPr>
    </w:lvl>
    <w:lvl w:ilvl="8">
      <w:start w:val="1"/>
      <w:numFmt w:val="lowerRoman"/>
      <w:suff w:val="tab"/>
      <w:lvlText w:val="%9."/>
      <w:lvlJc w:val="right"/>
      <w:pPr>
        <w:ind w:left="6840" w:hanging="179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9"/>
    <w:next w:val="16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7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9"/>
    <w:next w:val="16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7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9"/>
    <w:next w:val="16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7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9"/>
    <w:next w:val="16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7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9"/>
    <w:next w:val="16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7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9"/>
    <w:next w:val="16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7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9"/>
    <w:next w:val="16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7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9"/>
    <w:next w:val="16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7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9"/>
    <w:next w:val="16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7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69"/>
    <w:next w:val="16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70"/>
    <w:link w:val="32"/>
    <w:uiPriority w:val="10"/>
    <w:rPr>
      <w:sz w:val="48"/>
      <w:szCs w:val="48"/>
    </w:rPr>
  </w:style>
  <w:style w:type="paragraph" w:styleId="34">
    <w:name w:val="Subtitle"/>
    <w:basedOn w:val="169"/>
    <w:next w:val="16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70"/>
    <w:link w:val="34"/>
    <w:uiPriority w:val="11"/>
    <w:rPr>
      <w:sz w:val="24"/>
      <w:szCs w:val="24"/>
    </w:rPr>
  </w:style>
  <w:style w:type="paragraph" w:styleId="36">
    <w:name w:val="Quote"/>
    <w:basedOn w:val="169"/>
    <w:next w:val="16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9"/>
    <w:next w:val="16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70"/>
    <w:link w:val="40"/>
    <w:uiPriority w:val="99"/>
  </w:style>
  <w:style w:type="paragraph" w:styleId="42">
    <w:name w:val="Footer"/>
    <w:basedOn w:val="169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70"/>
    <w:link w:val="42"/>
    <w:uiPriority w:val="99"/>
  </w:style>
  <w:style w:type="table" w:styleId="45">
    <w:name w:val="Lined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169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70"/>
    <w:uiPriority w:val="99"/>
    <w:unhideWhenUsed/>
    <w:rPr>
      <w:vertAlign w:val="superscript"/>
    </w:rPr>
  </w:style>
  <w:style w:type="paragraph" w:styleId="70">
    <w:name w:val="toc 1"/>
    <w:basedOn w:val="169"/>
    <w:next w:val="169"/>
    <w:uiPriority w:val="39"/>
    <w:unhideWhenUsed/>
    <w:pPr>
      <w:ind w:left="0" w:right="0" w:hanging="0"/>
      <w:spacing w:after="57"/>
    </w:pPr>
  </w:style>
  <w:style w:type="paragraph" w:styleId="71">
    <w:name w:val="toc 2"/>
    <w:basedOn w:val="169"/>
    <w:next w:val="169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69"/>
    <w:next w:val="169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69"/>
    <w:next w:val="169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69"/>
    <w:next w:val="169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69"/>
    <w:next w:val="169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69"/>
    <w:next w:val="169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69"/>
    <w:next w:val="169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69"/>
    <w:next w:val="169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69" w:default="1">
    <w:name w:val="Normal"/>
    <w:qFormat/>
    <w:rPr>
      <w:rFonts w:ascii="Calibri" w:hAnsi="Calibri" w:cs="Times New Roman" w:eastAsia="Calibri"/>
    </w:rPr>
    <w:pPr>
      <w:spacing w:lineRule="auto" w:line="259" w:after="160"/>
    </w:pPr>
  </w:style>
  <w:style w:type="character" w:styleId="170" w:default="1">
    <w:name w:val="Default Paragraph Font"/>
    <w:uiPriority w:val="1"/>
    <w:semiHidden/>
    <w:unhideWhenUsed/>
  </w:style>
  <w:style w:type="table" w:styleId="1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2" w:default="1">
    <w:name w:val="No List"/>
    <w:uiPriority w:val="99"/>
    <w:semiHidden/>
    <w:unhideWhenUsed/>
  </w:style>
  <w:style w:type="paragraph" w:styleId="173">
    <w:name w:val="Balloon Text"/>
    <w:basedOn w:val="169"/>
    <w:link w:val="17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74" w:customStyle="1">
    <w:name w:val="Текст выноски Знак"/>
    <w:basedOn w:val="170"/>
    <w:link w:val="173"/>
    <w:uiPriority w:val="99"/>
    <w:semiHidden/>
    <w:rPr>
      <w:rFonts w:ascii="Tahoma" w:hAnsi="Tahoma" w:cs="Tahoma" w:eastAsia="Calibri"/>
      <w:sz w:val="16"/>
      <w:szCs w:val="16"/>
    </w:rPr>
  </w:style>
  <w:style w:type="paragraph" w:styleId="175">
    <w:name w:val="Normal (Web)"/>
    <w:basedOn w:val="169"/>
    <w:uiPriority w:val="99"/>
    <w:unhideWhenUsed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table" w:styleId="176">
    <w:name w:val="Table Grid"/>
    <w:basedOn w:val="17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7" w:customStyle="1">
    <w:name w:val="1848"/>
    <w:basedOn w:val="170"/>
  </w:style>
  <w:style w:type="paragraph" w:styleId="178" w:customStyle="1">
    <w:name w:val="3087"/>
    <w:basedOn w:val="169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179" w:customStyle="1">
    <w:name w:val="7659"/>
    <w:basedOn w:val="169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180" w:customStyle="1">
    <w:name w:val="2695"/>
    <w:basedOn w:val="169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181" w:customStyle="1">
    <w:name w:val="docdata"/>
    <w:basedOn w:val="169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182" w:customStyle="1">
    <w:name w:val="1985"/>
    <w:basedOn w:val="170"/>
  </w:style>
  <w:style w:type="character" w:styleId="183" w:customStyle="1">
    <w:name w:val="4386"/>
    <w:basedOn w:val="170"/>
  </w:style>
  <w:style w:type="character" w:styleId="184" w:customStyle="1">
    <w:name w:val="2897"/>
    <w:basedOn w:val="170"/>
  </w:style>
  <w:style w:type="character" w:styleId="185" w:customStyle="1">
    <w:name w:val="1953"/>
    <w:basedOn w:val="170"/>
  </w:style>
  <w:style w:type="paragraph" w:styleId="186">
    <w:name w:val="List Paragraph"/>
    <w:basedOn w:val="169"/>
    <w:qFormat/>
    <w:uiPriority w:val="34"/>
    <w:rPr>
      <w:lang w:val="ru-RU"/>
    </w:rPr>
    <w:pPr>
      <w:contextualSpacing w:val="true"/>
      <w:ind w:left="720"/>
      <w:spacing w:lineRule="auto" w:line="276" w:after="200"/>
    </w:pPr>
  </w:style>
  <w:style w:type="character" w:styleId="187">
    <w:name w:val="Hyperlink"/>
    <w:basedOn w:val="170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