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4" cy="755014"/>
                <wp:effectExtent l="0" t="0" r="634" b="698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ПРОЕКТ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листопада 201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9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ind w:right="4535"/>
        <w:keepNext/>
        <w:spacing w:lineRule="auto" w:line="240" w:after="0" w:afterAutospacing="0"/>
        <w:tabs>
          <w:tab w:val="left" w:pos="5387" w:leader="none"/>
        </w:tabs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left="0" w:right="5097" w:hanging="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Щодо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погодження Програми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надання матеріальної  допомоги на поховання осіб, </w:t>
      </w:r>
      <w:r>
        <w:rPr>
          <w:rFonts w:ascii="Times New Roman" w:hAnsi="Times New Roman" w:cs="Times New Roman"/>
          <w:b/>
          <w:sz w:val="28"/>
          <w:szCs w:val="28"/>
        </w:rPr>
        <w:t xml:space="preserve">які не досягли пенсійного віку та на момент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смерті не працювали, не перебували на службі,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зареєстровані у центрі зайнятості як безробітні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pStyle w:val="184"/>
        <w:ind w:firstLine="500"/>
        <w:spacing w:lineRule="exact" w:line="322" w:after="0" w:afterAutospacing="0" w:before="0"/>
        <w:shd w:val="clear" w:color="auto" w:fill="auto"/>
        <w:rPr>
          <w:lang w:eastAsia="uk-UA"/>
        </w:rPr>
      </w:pPr>
      <w:r>
        <w:t xml:space="preserve">Керуючись статті </w:t>
      </w:r>
      <w:r>
        <w:t xml:space="preserve">52</w:t>
      </w:r>
      <w:r>
        <w:t xml:space="preserve"> Закону України «Про місцеве самоврядування в Україні», п.</w:t>
      </w:r>
      <w:r>
        <w:t xml:space="preserve"> </w:t>
      </w:r>
      <w:r>
        <w:t xml:space="preserve">б частини 1.3 ста</w:t>
      </w:r>
      <w:r>
        <w:t xml:space="preserve">тті 91 Бюджетного кодексу України, пп.4 пункту 1, пунктом 2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</w:t>
      </w:r>
      <w:r>
        <w:t xml:space="preserve">д 31 січня 2007 року № 99</w:t>
      </w:r>
      <w:r>
        <w:rPr>
          <w:lang w:eastAsia="uk-UA"/>
        </w:rPr>
        <w:t xml:space="preserve">, виконавчий комітет Менської </w:t>
      </w:r>
      <w:r>
        <w:rPr>
          <w:lang w:eastAsia="uk-UA"/>
        </w:rPr>
        <w:t xml:space="preserve">міської ради</w:t>
      </w:r>
      <w:r/>
    </w:p>
    <w:p>
      <w:pPr>
        <w:pStyle w:val="184"/>
        <w:spacing w:lineRule="auto" w:line="240" w:after="0" w:afterAutospacing="0" w:before="0"/>
        <w:shd w:val="clear" w:color="auto" w:fill="auto"/>
      </w:pPr>
      <w:r>
        <w:rPr>
          <w:bCs/>
          <w:lang w:eastAsia="uk-UA"/>
        </w:rPr>
        <w:t xml:space="preserve">ВИРІШИВ</w:t>
      </w:r>
      <w:r>
        <w:rPr>
          <w:bCs/>
          <w:lang w:eastAsia="uk-UA"/>
        </w:rPr>
        <w:t xml:space="preserve">:</w:t>
      </w:r>
      <w:r/>
    </w:p>
    <w:p>
      <w:pPr>
        <w:pStyle w:val="193"/>
        <w:numPr>
          <w:ilvl w:val="0"/>
          <w:numId w:val="6"/>
        </w:numPr>
        <w:ind w:left="0" w:right="0" w:firstLine="36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.Погодити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проект “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матеріальної допомоги на поховання осіб, </w:t>
      </w:r>
      <w:r>
        <w:rPr>
          <w:rFonts w:ascii="Times New Roman" w:hAnsi="Times New Roman" w:cs="Times New Roman"/>
          <w:sz w:val="28"/>
          <w:szCs w:val="28"/>
        </w:rPr>
        <w:t xml:space="preserve">які не досягли пенсійного віку та на момент </w:t>
      </w:r>
      <w:r>
        <w:rPr>
          <w:rFonts w:ascii="Times New Roman" w:hAnsi="Times New Roman" w:cs="Times New Roman"/>
          <w:sz w:val="28"/>
          <w:szCs w:val="28"/>
        </w:rPr>
        <w:t xml:space="preserve">смерті не працювали, не перебували на службі, </w:t>
      </w:r>
      <w:r>
        <w:rPr>
          <w:rFonts w:ascii="Times New Roman" w:hAnsi="Times New Roman" w:cs="Times New Roman"/>
          <w:sz w:val="28"/>
          <w:szCs w:val="28"/>
        </w:rPr>
        <w:t xml:space="preserve">не зареєстровані у центрі зайнятості як безробітні </w:t>
      </w:r>
      <w:r>
        <w:rPr>
          <w:rFonts w:ascii="Times New Roman" w:hAnsi="Times New Roman" w:cs="Times New Roman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sz w:val="28"/>
          <w:szCs w:val="28"/>
        </w:rPr>
        <w:t xml:space="preserve">20-2022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оки” (далі - Програма), </w:t>
      </w:r>
      <w:r>
        <w:rPr>
          <w:rFonts w:ascii="Times New Roman" w:hAnsi="Times New Roman" w:cs="Times New Roman"/>
          <w:sz w:val="28"/>
          <w:szCs w:val="28"/>
        </w:rPr>
        <w:t xml:space="preserve">згідно додатку до даного рішення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(додається).</w:t>
      </w:r>
      <w:r>
        <w:rPr>
          <w:rFonts w:ascii="Times New Roman" w:hAnsi="Times New Roman" w:cs="Times New Roman"/>
          <w:sz w:val="28"/>
        </w:rPr>
      </w:r>
    </w:p>
    <w:p>
      <w:pPr>
        <w:pStyle w:val="193"/>
        <w:numPr>
          <w:ilvl w:val="0"/>
          <w:numId w:val="6"/>
        </w:numPr>
        <w:ind w:left="0" w:right="0" w:firstLine="36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Подати на сесію Менської міської ради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“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матеріальної допомоги на поховання осіб, </w:t>
      </w:r>
      <w:r>
        <w:rPr>
          <w:rFonts w:ascii="Times New Roman" w:hAnsi="Times New Roman" w:cs="Times New Roman"/>
          <w:sz w:val="28"/>
          <w:szCs w:val="28"/>
        </w:rPr>
        <w:t xml:space="preserve">які не досягли пенсійного віку та на момент </w:t>
      </w:r>
      <w:r>
        <w:rPr>
          <w:rFonts w:ascii="Times New Roman" w:hAnsi="Times New Roman" w:cs="Times New Roman"/>
          <w:sz w:val="28"/>
          <w:szCs w:val="28"/>
        </w:rPr>
        <w:t xml:space="preserve">смерті не працювали, не перебували на службі, </w:t>
      </w:r>
      <w:r>
        <w:rPr>
          <w:rFonts w:ascii="Times New Roman" w:hAnsi="Times New Roman" w:cs="Times New Roman"/>
          <w:sz w:val="28"/>
          <w:szCs w:val="28"/>
        </w:rPr>
        <w:t xml:space="preserve">не зареєстровані у центрі зайнятості як безробітні </w:t>
      </w:r>
      <w:r>
        <w:rPr>
          <w:rFonts w:ascii="Times New Roman" w:hAnsi="Times New Roman" w:cs="Times New Roman"/>
          <w:sz w:val="28"/>
          <w:szCs w:val="28"/>
        </w:rPr>
        <w:t xml:space="preserve">на 20</w:t>
      </w:r>
      <w:r>
        <w:rPr>
          <w:rFonts w:ascii="Times New Roman" w:hAnsi="Times New Roman" w:cs="Times New Roman"/>
          <w:sz w:val="28"/>
          <w:szCs w:val="28"/>
        </w:rPr>
        <w:t xml:space="preserve">20-2022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оки”</w:t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</w:rPr>
        <w:t xml:space="preserve">для розгляду та затвердження.</w:t>
      </w:r>
      <w:r/>
    </w:p>
    <w:p>
      <w:pPr>
        <w:pStyle w:val="193"/>
        <w:numPr>
          <w:ilvl w:val="0"/>
          <w:numId w:val="6"/>
        </w:numPr>
        <w:ind w:left="0" w:right="0" w:firstLine="360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заступника міського голови з питань діяльності виконкому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міської ради Вишняк Т.С.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    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          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 Г.А. Примаков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6372"/>
        <w:spacing w:after="0" w:afterAutospacing="0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lang w:eastAsia="ru-RU"/>
        </w:rPr>
      </w:pPr>
      <w:r>
        <w:rPr>
          <w:rFonts w:eastAsia="Batang"/>
          <w:lang w:eastAsia="ru-RU"/>
        </w:rPr>
      </w:r>
      <w:r/>
    </w:p>
    <w:p>
      <w:pPr>
        <w:ind w:left="6372"/>
        <w:spacing w:after="0" w:afterAutospacing="0"/>
        <w:tabs>
          <w:tab w:val="left" w:pos="200" w:leader="none"/>
          <w:tab w:val="left" w:pos="1120" w:leader="none"/>
          <w:tab w:val="center" w:pos="4677" w:leader="none"/>
        </w:tabs>
        <w:rPr>
          <w:rFonts w:eastAsia="Batang"/>
          <w:lang w:eastAsia="ru-RU"/>
        </w:rPr>
      </w:pPr>
      <w:r>
        <w:rPr>
          <w:rFonts w:eastAsia="Batang"/>
          <w:lang w:eastAsia="ru-RU"/>
        </w:rPr>
      </w:r>
      <w:r/>
    </w:p>
    <w:p>
      <w:pPr>
        <w:ind w:left="6372"/>
        <w:spacing w:after="0" w:afterAutospacing="0"/>
        <w:tabs>
          <w:tab w:val="left" w:pos="200" w:leader="none"/>
          <w:tab w:val="left" w:pos="1120" w:leader="none"/>
          <w:tab w:val="center" w:pos="4677" w:leader="none"/>
        </w:tabs>
        <w:rPr>
          <w:rFonts w:ascii="Times New Roman" w:hAnsi="Times New Roman" w:cs="Times New Roman" w:eastAsia="Batang"/>
          <w:lang w:eastAsia="ru-RU"/>
        </w:rPr>
      </w:pPr>
      <w:r>
        <w:rPr>
          <w:rFonts w:ascii="Times New Roman" w:hAnsi="Times New Roman" w:cs="Times New Roman" w:eastAsia="Batang"/>
          <w:lang w:eastAsia="ru-RU"/>
        </w:rPr>
        <w:t xml:space="preserve">Додаток до рішення </w:t>
      </w:r>
      <w:r>
        <w:rPr>
          <w:rFonts w:ascii="Times New Roman" w:hAnsi="Times New Roman" w:cs="Times New Roman" w:eastAsia="Batang"/>
          <w:lang w:eastAsia="ru-RU"/>
        </w:rPr>
        <w:t xml:space="preserve">виконкому Менської міської ради </w:t>
      </w:r>
      <w:r>
        <w:rPr>
          <w:rFonts w:ascii="Times New Roman" w:hAnsi="Times New Roman" w:cs="Times New Roman" w:eastAsia="Batang"/>
          <w:bCs/>
          <w:szCs w:val="28"/>
          <w:lang w:eastAsia="ru-RU"/>
        </w:rPr>
        <w:t xml:space="preserve">Щодо</w:t>
      </w:r>
      <w:r>
        <w:rPr>
          <w:rFonts w:ascii="Times New Roman" w:hAnsi="Times New Roman" w:cs="Times New Roman" w:eastAsia="Batang"/>
          <w:bCs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Cs w:val="28"/>
          <w:lang w:eastAsia="ru-RU"/>
        </w:rPr>
        <w:t xml:space="preserve">погодження Програми 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про надання матеріальної  допомоги на поховання осіб, 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які не досягли пенсійного віку та на момент 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смерті не працювали, не перебували на службі, 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не зареєстровані у центрі зайнятості як безробітні 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на 20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20-2022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 р</w:t>
      </w:r>
      <w:r>
        <w:rPr>
          <w:rFonts w:ascii="Times New Roman" w:hAnsi="Times New Roman" w:cs="Times New Roman" w:eastAsia="Batang"/>
          <w:szCs w:val="28"/>
          <w:lang w:eastAsia="ru-RU"/>
        </w:rPr>
        <w:t xml:space="preserve">оки” </w:t>
      </w:r>
      <w:r>
        <w:rPr>
          <w:rFonts w:ascii="Times New Roman" w:hAnsi="Times New Roman" w:cs="Times New Roman" w:eastAsia="Batang"/>
          <w:lang w:eastAsia="ru-RU"/>
        </w:rPr>
      </w:r>
      <w:r>
        <w:rPr>
          <w:rFonts w:ascii="Times New Roman" w:hAnsi="Times New Roman" w:cs="Times New Roman" w:eastAsia="Batang"/>
          <w:lang w:eastAsia="ru-RU"/>
        </w:rPr>
      </w:r>
      <w:r>
        <w:rPr>
          <w:rFonts w:ascii="Times New Roman" w:hAnsi="Times New Roman" w:cs="Times New Roman" w:eastAsia="Batang"/>
          <w:lang w:eastAsia="ru-RU"/>
        </w:rPr>
      </w:r>
      <w:r>
        <w:rPr>
          <w:rFonts w:ascii="Times New Roman" w:hAnsi="Times New Roman" w:cs="Times New Roman" w:eastAsia="Batang"/>
          <w:lang w:eastAsia="ru-RU"/>
        </w:rPr>
        <w:t xml:space="preserve">від 1</w:t>
      </w:r>
      <w:r>
        <w:rPr>
          <w:rFonts w:ascii="Times New Roman" w:hAnsi="Times New Roman" w:cs="Times New Roman" w:eastAsia="Batang"/>
          <w:lang w:eastAsia="ru-RU"/>
        </w:rPr>
        <w:t xml:space="preserve">4</w:t>
      </w:r>
      <w:r>
        <w:rPr>
          <w:rFonts w:ascii="Times New Roman" w:hAnsi="Times New Roman" w:cs="Times New Roman" w:eastAsia="Batang"/>
          <w:lang w:eastAsia="ru-RU"/>
        </w:rPr>
        <w:t xml:space="preserve"> </w:t>
      </w:r>
      <w:r>
        <w:rPr>
          <w:rFonts w:ascii="Times New Roman" w:hAnsi="Times New Roman" w:cs="Times New Roman" w:eastAsia="Batang"/>
          <w:lang w:eastAsia="ru-RU"/>
        </w:rPr>
        <w:t xml:space="preserve">листопада</w:t>
      </w:r>
      <w:r>
        <w:rPr>
          <w:rFonts w:ascii="Times New Roman" w:hAnsi="Times New Roman" w:cs="Times New Roman" w:eastAsia="Batang"/>
          <w:lang w:eastAsia="ru-RU"/>
        </w:rPr>
        <w:t xml:space="preserve"> 201</w:t>
      </w:r>
      <w:r>
        <w:rPr>
          <w:rFonts w:ascii="Times New Roman" w:hAnsi="Times New Roman" w:cs="Times New Roman" w:eastAsia="Batang"/>
          <w:lang w:eastAsia="ru-RU"/>
        </w:rPr>
        <w:t xml:space="preserve">9</w:t>
      </w:r>
      <w:r>
        <w:rPr>
          <w:rFonts w:ascii="Times New Roman" w:hAnsi="Times New Roman" w:cs="Times New Roman" w:eastAsia="Batang"/>
          <w:lang w:eastAsia="ru-RU"/>
        </w:rPr>
        <w:t xml:space="preserve"> року №</w:t>
      </w:r>
      <w:r>
        <w:rPr>
          <w:rFonts w:ascii="Times New Roman" w:hAnsi="Times New Roman" w:cs="Times New Roman" w:eastAsia="Batang"/>
          <w:lang w:eastAsia="ru-RU"/>
        </w:rPr>
        <w:t xml:space="preserve">____</w:t>
      </w:r>
      <w:r/>
    </w:p>
    <w:p>
      <w:pPr>
        <w:spacing w:after="0" w:afterAutospacing="0"/>
      </w:pPr>
      <w:r/>
      <w:r/>
    </w:p>
    <w:p>
      <w:pPr>
        <w:spacing w:after="0" w:afterAutospacing="0"/>
      </w:pPr>
      <w:r/>
      <w:r/>
    </w:p>
    <w:p>
      <w:pPr>
        <w:spacing w:after="0" w:afterAutospacing="0"/>
      </w:pPr>
      <w:r/>
      <w:r/>
    </w:p>
    <w:p>
      <w:pPr>
        <w:jc w:val="center"/>
        <w:spacing w:after="0" w:afterAutospacing="0"/>
        <w:rPr>
          <w:rFonts w:ascii="Times New Roman" w:hAnsi="Times New Roman" w:cs="Times New Roman"/>
          <w:b/>
          <w:sz w:val="36"/>
          <w:szCs w:val="36"/>
        </w:rPr>
        <w:outlineLvl w:val="0"/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b/>
          <w:sz w:val="36"/>
          <w:szCs w:val="36"/>
        </w:rPr>
        <w:outlineLvl w:val="0"/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b/>
          <w:sz w:val="36"/>
          <w:szCs w:val="36"/>
        </w:rPr>
        <w:outlineLvl w:val="0"/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  <w:b/>
          <w:sz w:val="36"/>
          <w:szCs w:val="36"/>
        </w:rPr>
        <w:outlineLvl w:val="0"/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Програма</w:t>
      </w:r>
      <w:r/>
    </w:p>
    <w:p>
      <w:pPr>
        <w:pStyle w:val="184"/>
        <w:ind w:left="960" w:right="1020" w:firstLine="200"/>
        <w:jc w:val="center"/>
        <w:spacing w:lineRule="exact" w:line="600" w:after="0" w:afterAutospacing="0" w:before="0"/>
        <w:shd w:val="clear" w:color="auto" w:fill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</w:t>
      </w:r>
      <w:r>
        <w:rPr>
          <w:b/>
          <w:sz w:val="36"/>
          <w:szCs w:val="36"/>
        </w:rPr>
        <w:t xml:space="preserve">ро надання матеріальної допомоги н</w:t>
      </w:r>
      <w:r>
        <w:rPr>
          <w:b/>
          <w:sz w:val="36"/>
          <w:szCs w:val="36"/>
        </w:rPr>
        <w:t xml:space="preserve">а поховання осіб, які не досягли</w:t>
      </w:r>
      <w:r>
        <w:rPr>
          <w:b/>
          <w:sz w:val="36"/>
          <w:szCs w:val="36"/>
        </w:rPr>
        <w:t xml:space="preserve"> пенсійного віку та на момент смерті не працювали, не перебували на службі, не зареєстровані у центрі зайнятості</w:t>
      </w:r>
      <w:r>
        <w:rPr>
          <w:b/>
          <w:sz w:val="36"/>
          <w:szCs w:val="36"/>
        </w:rPr>
        <w:t xml:space="preserve"> як безробітні на 20</w:t>
      </w:r>
      <w:r>
        <w:rPr>
          <w:b/>
          <w:sz w:val="36"/>
          <w:szCs w:val="36"/>
        </w:rPr>
        <w:t xml:space="preserve">20-2022 </w:t>
      </w:r>
      <w:r>
        <w:rPr>
          <w:b/>
          <w:sz w:val="36"/>
          <w:szCs w:val="36"/>
        </w:rPr>
        <w:t xml:space="preserve">р</w:t>
      </w:r>
      <w:r>
        <w:rPr>
          <w:b/>
          <w:sz w:val="36"/>
          <w:szCs w:val="36"/>
        </w:rPr>
        <w:t xml:space="preserve">оки</w:t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after="0" w:afterAutospacing="0"/>
        <w:rPr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after="0" w:afterAutospacing="0"/>
        <w:rPr>
          <w:szCs w:val="28"/>
        </w:rPr>
        <w:outlineLvl w:val="0"/>
      </w:pPr>
      <w:r/>
      <w:r/>
    </w:p>
    <w:p>
      <w:pPr>
        <w:jc w:val="center"/>
        <w:spacing w:after="0" w:afterAutospacing="0"/>
        <w:rPr>
          <w:szCs w:val="28"/>
        </w:rPr>
        <w:outlineLvl w:val="0"/>
      </w:pPr>
      <w:r/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/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/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eastAsia="uk-UA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р.</w:t>
      </w:r>
      <w:r/>
    </w:p>
    <w:p>
      <w:pPr>
        <w:shd w:val="nil" w:color="auto" w:fill="FFFFFF"/>
      </w:pPr>
      <w:r>
        <w:br w:type="page"/>
      </w:r>
      <w:r/>
    </w:p>
    <w:p>
      <w:pPr>
        <w:pStyle w:val="1_1511"/>
        <w:jc w:val="center"/>
        <w:rPr>
          <w:b/>
          <w:sz w:val="28"/>
          <w:szCs w:val="28"/>
          <w:lang w:val="uk-UA"/>
        </w:rPr>
      </w:pPr>
      <w:r/>
      <w:r/>
      <w:r>
        <w:rPr>
          <w:b/>
          <w:lang w:val="uk-UA"/>
        </w:rPr>
      </w: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 xml:space="preserve">ПАСПОРТ</w:t>
      </w:r>
      <w:r/>
      <w:r/>
    </w:p>
    <w:p>
      <w:pPr>
        <w:pStyle w:val="1_1511"/>
        <w:jc w:val="center"/>
      </w:pPr>
      <w:r>
        <w:rPr>
          <w:b/>
          <w:sz w:val="28"/>
          <w:szCs w:val="28"/>
          <w:lang w:val="uk-UA"/>
        </w:rPr>
      </w:r>
      <w:r>
        <w:rPr>
          <w:rFonts w:ascii="Times New Roman" w:hAnsi="Times New Roman" w:cs="Times New Roman" w:eastAsia="Batang"/>
          <w:b/>
          <w:bCs/>
          <w:sz w:val="28"/>
          <w:szCs w:val="28"/>
          <w:lang w:eastAsia="ru-RU"/>
        </w:rPr>
        <w:t xml:space="preserve">Програми 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про надання матеріальної  допомоги на поховання осіб, 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які не досягли пенсійного віку та на момент 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смерті не працювали, не перебували на службі, 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не зареєстровані у центрі зайнятості як безробітні 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20-2022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оки”</w:t>
      </w:r>
      <w:r>
        <w:rPr>
          <w:b/>
          <w:sz w:val="28"/>
          <w:szCs w:val="28"/>
          <w:lang w:val="uk-UA"/>
        </w:rPr>
      </w:r>
      <w:r>
        <w:rPr>
          <w:b/>
          <w:sz w:val="28"/>
        </w:rPr>
      </w: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tbl>
      <w:tblPr>
        <w:tblW w:w="0" w:type="auto"/>
        <w:tblInd w:w="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5"/>
        <w:gridCol w:w="2976"/>
        <w:gridCol w:w="5929"/>
      </w:tblGrid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1.2.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розпорядчого документа про розроблення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«Про місцеве самоврядування в Україн</w:t>
            </w:r>
            <w:r>
              <w:rPr>
                <w:sz w:val="28"/>
                <w:szCs w:val="28"/>
                <w:lang w:val="uk-UA"/>
              </w:rPr>
              <w:t xml:space="preserve">і»,</w:t>
            </w:r>
            <w:r>
              <w:rPr>
                <w:sz w:val="28"/>
                <w:lang w:val="uk-UA"/>
              </w:rPr>
              <w:t xml:space="preserve">Конституція України, Бюджетний кодекс України (ст.91), Порядок надання допомоги на поховання деяких категорій осіб виконавцю волевиявлення померлого або особі, яка зобов’язалася поховати помер</w:t>
            </w:r>
            <w:r>
              <w:rPr>
                <w:sz w:val="28"/>
                <w:lang w:val="uk-UA"/>
              </w:rPr>
              <w:t xml:space="preserve">лого, затвердженого постановою Кабінету Міністрів України від 31 січня 2007 року № 99, інші нормативні акти</w:t>
            </w: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lang w:val="uk-UA"/>
              </w:rPr>
            </w:r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1.3.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Відділ охорони здоров’я та 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Менської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1.4.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Співрозробники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1.5.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  <w:t xml:space="preserve">Відділ охорони здоров’я та 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Менської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lang w:val="uk-UA"/>
              </w:rPr>
            </w:r>
            <w:r/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розпорядник бюджетних коштів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</w:t>
            </w:r>
            <w:r>
              <w:rPr>
                <w:sz w:val="28"/>
                <w:szCs w:val="28"/>
                <w:lang w:val="uk-UA"/>
              </w:rPr>
              <w:t xml:space="preserve">а міська рада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1.7.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 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</w:t>
            </w:r>
            <w:r>
              <w:rPr>
                <w:sz w:val="28"/>
                <w:szCs w:val="28"/>
                <w:lang w:val="uk-UA"/>
              </w:rPr>
              <w:t xml:space="preserve">а міська рада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1.8.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84"/>
              <w:ind w:hanging="0"/>
              <w:spacing w:lineRule="exact" w:line="322" w:after="0" w:afterAutospacing="0" w:before="0"/>
              <w:shd w:val="clear" w:color="auto" w:fill="auto"/>
            </w:pPr>
            <w:r>
              <w:t xml:space="preserve">Забезпечит</w:t>
            </w:r>
            <w:r>
              <w:t xml:space="preserve">и в установленому порядку</w:t>
            </w:r>
            <w:r>
              <w:t xml:space="preserve"> фінансово-матеріальне забезпечення поховання осіб, </w:t>
            </w:r>
            <w:r>
              <w:t xml:space="preserve">які не досягли</w:t>
            </w:r>
            <w:r>
              <w:t xml:space="preserve"> пенсійного віку та на момент смерті не працювали, не перебували на службі, не зареєстровані у центрі зайнятості як безробітні.</w:t>
            </w:r>
            <w:r/>
            <w:r/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1.9.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2020-2022</w:t>
            </w:r>
            <w:r>
              <w:rPr>
                <w:b/>
                <w:sz w:val="28"/>
                <w:szCs w:val="28"/>
                <w:lang w:val="uk-UA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1.10.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т.ч.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рік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2022 рік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</w:t>
            </w:r>
            <w:r>
              <w:rPr>
                <w:sz w:val="28"/>
                <w:szCs w:val="28"/>
                <w:lang w:val="uk-UA"/>
              </w:rPr>
              <w:t xml:space="preserve">тис.грн.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тис.грн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>
              <w:rPr>
                <w:sz w:val="28"/>
                <w:szCs w:val="28"/>
                <w:lang w:val="uk-UA"/>
              </w:rPr>
              <w:t xml:space="preserve">тис.грн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1.11.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Досягнення мети Програми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0"/>
        </w:trPr>
        <w:tc>
          <w:tcPr>
            <w:tcW w:w="815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1.12.</w:t>
            </w: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Координація роботи  </w:t>
            </w:r>
            <w:r/>
          </w:p>
        </w:tc>
        <w:tc>
          <w:tcPr>
            <w:tcW w:w="5929" w:type="dxa"/>
            <w:vAlign w:val="top"/>
            <w:textDirection w:val="lrTb"/>
            <w:noWrap w:val="false"/>
          </w:tcPr>
          <w:p>
            <w:pPr>
              <w:pStyle w:val="1_1511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Заступники міського голови з питань діяльності виконкому Менської міської ради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shd w:val="nil" w:color="auto" w:fill="000000"/>
      </w:pPr>
      <w:r>
        <w:br w:type="page"/>
      </w:r>
      <w:bookmarkStart w:id="0" w:name="bookmark0"/>
      <w:r/>
      <w:r/>
    </w:p>
    <w:p>
      <w:pPr>
        <w:pStyle w:val="188"/>
        <w:numPr>
          <w:ilvl w:val="0"/>
          <w:numId w:val="4"/>
        </w:numPr>
        <w:jc w:val="center"/>
        <w:keepLines/>
        <w:keepNext/>
        <w:spacing w:lineRule="exact" w:line="280" w:after="170" w:afterAutospacing="0" w:before="0"/>
        <w:shd w:val="clear" w:color="auto" w:fill="auto"/>
        <w:tabs>
          <w:tab w:val="left" w:pos="612" w:leader="none"/>
        </w:tabs>
      </w:pPr>
      <w:r>
        <w:t xml:space="preserve">Загальні положення</w:t>
      </w:r>
      <w:bookmarkEnd w:id="0"/>
      <w:r/>
      <w:r/>
    </w:p>
    <w:p>
      <w:pPr>
        <w:pStyle w:val="184"/>
        <w:ind w:firstLine="500"/>
        <w:spacing w:lineRule="exact" w:line="322" w:after="0" w:afterAutospacing="0" w:before="0"/>
        <w:shd w:val="clear" w:color="auto" w:fill="auto"/>
      </w:pPr>
      <w:r>
        <w:t xml:space="preserve">У</w:t>
      </w:r>
      <w:r>
        <w:t xml:space="preserve"> сучасних умовах виникає необхідність надання матеріальної допомоги н</w:t>
      </w:r>
      <w:r>
        <w:t xml:space="preserve">а поховання </w:t>
      </w:r>
      <w:r>
        <w:t xml:space="preserve">осіб</w:t>
      </w:r>
      <w:r>
        <w:t xml:space="preserve">, які не досягли</w:t>
      </w:r>
      <w:r>
        <w:t xml:space="preserve"> пенсійного віку та на момент смерті не працювали, не перебували на службі, не зареєстровані у центрі зайнятості як безробітні.</w:t>
      </w:r>
      <w:r/>
    </w:p>
    <w:p>
      <w:pPr>
        <w:pStyle w:val="184"/>
        <w:ind w:firstLine="500"/>
        <w:spacing w:lineRule="exact" w:line="322" w:after="0" w:afterAutospacing="0" w:before="0"/>
        <w:shd w:val="clear" w:color="auto" w:fill="auto"/>
      </w:pPr>
      <w:r>
        <w:t xml:space="preserve">Правовою основою програми є чинне законодавство України, зокрема, Конституція України, Бюджетний кодекс України (ст.91), Порядок надання допомоги на поховання деяких категорій осіб виконавцю волевиявлення померлого або особі, яка зобов’язалася поховати помер</w:t>
      </w:r>
      <w:r>
        <w:t xml:space="preserve">лого, затвердженого постановою Кабінету Міністрів України від 31 січня 2007 року № 99, інші нормативні акти.</w:t>
      </w:r>
      <w:r/>
    </w:p>
    <w:p>
      <w:pPr>
        <w:pStyle w:val="188"/>
        <w:numPr>
          <w:ilvl w:val="0"/>
          <w:numId w:val="4"/>
        </w:numPr>
        <w:jc w:val="center"/>
        <w:keepLines/>
        <w:keepNext/>
        <w:spacing w:lineRule="exact" w:line="280" w:after="170" w:afterAutospacing="0" w:before="0"/>
        <w:shd w:val="clear" w:color="auto" w:fill="auto"/>
        <w:tabs>
          <w:tab w:val="left" w:pos="612" w:leader="none"/>
        </w:tabs>
      </w:pPr>
      <w:r/>
      <w:bookmarkStart w:id="1" w:name="bookmark1"/>
      <w:r>
        <w:t xml:space="preserve">Мета </w:t>
      </w:r>
      <w:r>
        <w:t xml:space="preserve">програми</w:t>
      </w:r>
      <w:bookmarkEnd w:id="1"/>
      <w:r/>
      <w:r/>
    </w:p>
    <w:p>
      <w:pPr>
        <w:pStyle w:val="184"/>
        <w:ind w:firstLine="708"/>
        <w:spacing w:lineRule="exact" w:line="322" w:after="0" w:afterAutospacing="0" w:before="0"/>
        <w:shd w:val="clear" w:color="auto" w:fill="auto"/>
      </w:pPr>
      <w:r>
        <w:t xml:space="preserve">Забезпечит</w:t>
      </w:r>
      <w:r>
        <w:t xml:space="preserve">и в установленому порядку</w:t>
      </w:r>
      <w:r>
        <w:t xml:space="preserve"> фінансово-матеріальне забезпечення поховання осіб, </w:t>
      </w:r>
      <w:r>
        <w:t xml:space="preserve">які не досягли</w:t>
      </w:r>
      <w:r>
        <w:t xml:space="preserve"> пенсійного віку та на момент смерті не працювали, не перебували на службі, не зареєстровані у центрі зайнятості як безробітні.</w:t>
      </w:r>
      <w:r/>
    </w:p>
    <w:p>
      <w:pPr>
        <w:pStyle w:val="188"/>
        <w:numPr>
          <w:ilvl w:val="0"/>
          <w:numId w:val="4"/>
        </w:numPr>
        <w:jc w:val="center"/>
        <w:keepLines/>
        <w:keepNext/>
        <w:spacing w:lineRule="exact" w:line="279" w:after="170" w:afterAutospacing="0" w:before="0"/>
        <w:shd w:val="clear" w:color="auto" w:fill="auto"/>
        <w:tabs>
          <w:tab w:val="left" w:pos="612" w:leader="none"/>
        </w:tabs>
        <w:rPr>
          <w:b/>
        </w:rPr>
      </w:pPr>
      <w:r>
        <w:t xml:space="preserve">Напрямки </w:t>
      </w:r>
      <w:r>
        <w:rPr>
          <w:b/>
        </w:rPr>
        <w:t xml:space="preserve">реалізації програм</w:t>
      </w:r>
      <w:r/>
    </w:p>
    <w:p>
      <w:pPr>
        <w:pStyle w:val="184"/>
        <w:ind w:firstLine="708"/>
        <w:spacing w:after="0" w:afterAutospacing="0" w:before="0"/>
        <w:shd w:val="clear" w:color="auto" w:fill="auto"/>
      </w:pPr>
      <w:r>
        <w:t xml:space="preserve">Налагоджена робота по обліку населення, їх місця роботи дасть змогу своєчасно, у визначений законодавством термін, надавати допомогу н</w:t>
      </w:r>
      <w:r>
        <w:t xml:space="preserve">а поховання осіб, які не досягли</w:t>
      </w:r>
      <w:r>
        <w:t xml:space="preserve"> пенсійного віку та на момент смерті не працювали, не перебували на службі, не зареєстровані у центрі зайнятості як безробітні.</w:t>
      </w:r>
      <w:r/>
    </w:p>
    <w:p>
      <w:pPr>
        <w:pStyle w:val="188"/>
        <w:numPr>
          <w:ilvl w:val="0"/>
          <w:numId w:val="4"/>
        </w:numPr>
        <w:jc w:val="center"/>
        <w:keepLines/>
        <w:keepNext/>
        <w:spacing w:lineRule="exact" w:line="279" w:after="170" w:afterAutospacing="0" w:before="0"/>
        <w:shd w:val="clear" w:color="auto" w:fill="auto"/>
        <w:tabs>
          <w:tab w:val="left" w:pos="612" w:leader="none"/>
        </w:tabs>
        <w:rPr>
          <w:b/>
        </w:rPr>
      </w:pPr>
      <w:r>
        <w:rPr>
          <w:b/>
        </w:rPr>
        <w:t xml:space="preserve">Документи, які </w:t>
      </w:r>
      <w:r/>
      <w:r>
        <w:rPr>
          <w:b/>
        </w:rPr>
        <w:t xml:space="preserve">необхідні при отриманні допомоги</w:t>
      </w:r>
      <w:r/>
    </w:p>
    <w:p>
      <w:pPr>
        <w:pStyle w:val="184"/>
        <w:ind w:firstLine="708"/>
        <w:spacing w:after="0" w:afterAutospacing="0" w:before="0"/>
        <w:shd w:val="clear" w:color="auto" w:fill="auto"/>
        <w:rPr>
          <w:color w:val="000000" w:themeColor="text1"/>
        </w:rPr>
      </w:pPr>
      <w:r>
        <w:rPr>
          <w:color w:val="000000" w:themeColor="text1"/>
          <w:lang w:eastAsia="uk-UA"/>
        </w:rPr>
        <w:t xml:space="preserve">Для отримання </w:t>
      </w:r>
      <w:r>
        <w:rPr>
          <w:color w:val="000000" w:themeColor="text1"/>
        </w:rPr>
        <w:t xml:space="preserve">допомоги на поховання осіб, які не досягли пенсійного віку та на момент смерті не</w:t>
      </w:r>
      <w:r>
        <w:rPr>
          <w:color w:val="000000" w:themeColor="text1"/>
        </w:rPr>
        <w:t xml:space="preserve"> працювали, не перебували на службі, не зареєстровані у центрі зайнятості як безробітні</w:t>
      </w:r>
      <w:r>
        <w:rPr>
          <w:color w:val="000000" w:themeColor="text1"/>
        </w:rPr>
        <w:t xml:space="preserve"> необхідно подати наступні документи:</w:t>
      </w:r>
      <w:r>
        <w:rPr>
          <w:color w:val="000000" w:themeColor="text1"/>
        </w:rPr>
      </w:r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Заява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Копія паспорту (1, 2, 11 стор.);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Копія довідки про присвоєння ідентифікаційного номера (заявника);</w:t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Копія свідоцтва про смерть;</w:t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Оригінал Витягу з Державного реєстру актів цивільного стану громадян про смерть для от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римання допомоги на поховання;</w:t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Довідка з Уп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равління Пенсійного фонду України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те, що померла особа не отримувала пенсію;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Довідка з центру зайнятості про те, що померла особа не перебувала на обліку, як безробітна;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color w:val="30303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Копія трудової книжки померлої особи (перша сторінка та останній запис);</w:t>
      </w:r>
      <w:r>
        <w:rPr>
          <w:rFonts w:ascii="Times New Roman" w:hAnsi="Times New Roman" w:cs="Times New Roman" w:eastAsia="Times New Roman"/>
          <w:color w:val="303030"/>
          <w:sz w:val="28"/>
          <w:szCs w:val="28"/>
          <w:lang w:eastAsia="uk-UA"/>
        </w:rPr>
      </w:r>
      <w:r/>
    </w:p>
    <w:p>
      <w:pPr>
        <w:pStyle w:val="193"/>
        <w:numPr>
          <w:ilvl w:val="0"/>
          <w:numId w:val="8"/>
        </w:numPr>
        <w:ind w:left="0" w:right="0" w:hanging="0"/>
        <w:spacing w:lineRule="auto" w:line="240" w:after="0" w:afterAutospacing="0" w:before="240"/>
        <w:shd w:val="clear" w:color="auto" w:fill="FFFFFF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30303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Відкритий рахунок в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банку.</w:t>
      </w:r>
      <w:r>
        <w:rPr>
          <w:rFonts w:ascii="Times New Roman" w:hAnsi="Times New Roman" w:cs="Times New Roman" w:eastAsia="Times New Roman"/>
          <w:bCs/>
          <w:i/>
          <w:iCs/>
          <w:sz w:val="28"/>
          <w:szCs w:val="28"/>
          <w:lang w:eastAsia="uk-UA"/>
        </w:rPr>
      </w:r>
      <w:r/>
    </w:p>
    <w:p>
      <w:pPr>
        <w:shd w:val="nil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br w:type="page"/>
      </w:r>
      <w:r/>
    </w:p>
    <w:p>
      <w:pPr>
        <w:pStyle w:val="188"/>
        <w:numPr>
          <w:ilvl w:val="0"/>
          <w:numId w:val="4"/>
        </w:numPr>
        <w:jc w:val="center"/>
        <w:keepLines/>
        <w:keepNext/>
        <w:spacing w:lineRule="exact" w:line="279" w:after="170" w:afterAutospacing="0" w:before="0"/>
        <w:shd w:val="clear" w:color="auto" w:fill="auto"/>
        <w:tabs>
          <w:tab w:val="left" w:pos="612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5. Фінансове </w:t>
      </w:r>
      <w:r>
        <w:rPr>
          <w:bCs/>
          <w:szCs w:val="28"/>
          <w:lang w:eastAsia="ru-RU"/>
        </w:rPr>
        <w:t xml:space="preserve">забезпечення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виконання Програми</w:t>
      </w:r>
      <w:r/>
    </w:p>
    <w:p>
      <w:pPr>
        <w:pStyle w:val="184"/>
        <w:ind w:firstLine="708"/>
        <w:jc w:val="left"/>
        <w:spacing w:lineRule="exact" w:line="307" w:after="0" w:afterAutospacing="0" w:before="0"/>
        <w:shd w:val="clear" w:color="auto" w:fill="auto"/>
        <w:rPr>
          <w:lang w:eastAsia="ru-RU"/>
        </w:rPr>
      </w:pPr>
      <w:r>
        <w:rPr>
          <w:lang w:eastAsia="ru-RU"/>
        </w:rPr>
        <w:t xml:space="preserve">Фінансування Програми здійснюється в межах асигнувань, передбачених у бюджеті Менської ОТГ,  а також з інших джерел, </w:t>
      </w:r>
      <w:r/>
      <w:r>
        <w:rPr>
          <w:lang w:eastAsia="ru-RU"/>
        </w:rPr>
        <w:t xml:space="preserve">не заборонених чинним законодавством України.</w:t>
      </w:r>
      <w:r/>
    </w:p>
    <w:p>
      <w:pPr>
        <w:ind w:firstLine="612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  <w:lang w:eastAsia="ru-RU"/>
        </w:rPr>
      </w:r>
      <w:r/>
    </w:p>
    <w:tbl>
      <w:tblPr>
        <w:tblW w:w="9757" w:type="dxa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28"/>
        <w:gridCol w:w="1007"/>
        <w:gridCol w:w="850"/>
        <w:gridCol w:w="851"/>
        <w:gridCol w:w="831"/>
      </w:tblGrid>
      <w:tr>
        <w:trPr>
          <w:tblCellSpacing w:w="0" w:type="dxa"/>
          <w:trHeight w:val="4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п/п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Напрями фінансування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Орієнтовна сума, тис. грн.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blCellSpacing w:w="0" w:type="dxa"/>
          <w:trHeight w:val="4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18"/>
                <w:lang w:eastAsia="ru-RU"/>
              </w:rPr>
              <w:t xml:space="preserve">2020 р.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18"/>
                <w:lang w:eastAsia="ru-RU"/>
              </w:rPr>
              <w:t xml:space="preserve">2021 р.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18"/>
                <w:lang w:eastAsia="ru-RU"/>
              </w:rPr>
              <w:t xml:space="preserve">2022 р.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18"/>
                <w:lang w:eastAsia="ru-RU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безробітні,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 т.ч.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поховання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днієї особи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Всього: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7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jc w:val="center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8"/>
          <w:szCs w:val="28"/>
          <w:lang w:eastAsia="ru-RU"/>
        </w:rPr>
      </w:r>
      <w:r/>
    </w:p>
    <w:p>
      <w:pPr>
        <w:jc w:val="center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6. Координація робіт із забезпечення заходів Програми</w:t>
      </w:r>
      <w:r/>
    </w:p>
    <w:p>
      <w:pPr>
        <w:ind w:firstLine="61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Координація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оботи із забезпечення заходів Програми покладається 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заступник міського голови з питань діяльності виконавчого комітету Менської міської ради згідно з розподілом обов’язків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ru-RU"/>
        </w:rPr>
      </w:r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NewRoman">
    <w:panose1 w:val="02060803050605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59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59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79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59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59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79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59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59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79"/>
        <w:tabs>
          <w:tab w:val="left" w:pos="684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suff w:val="tab"/>
      <w:lvlText w:val=""/>
      <w:lvlJc w:val="left"/>
      <w:pPr>
        <w:ind w:left="0" w:hanging="0"/>
      </w:pPr>
    </w:lvl>
    <w:lvl w:ilvl="2">
      <w:start w:val="1"/>
      <w:numFmt w:val="decimal"/>
      <w:suff w:val="tab"/>
      <w:lvlText w:val=""/>
      <w:lvlJc w:val="left"/>
      <w:pPr>
        <w:ind w:left="0" w:hanging="0"/>
      </w:pPr>
    </w:lvl>
    <w:lvl w:ilvl="3">
      <w:start w:val="1"/>
      <w:numFmt w:val="decimal"/>
      <w:suff w:val="tab"/>
      <w:lvlText w:val=""/>
      <w:lvlJc w:val="left"/>
      <w:pPr>
        <w:ind w:left="0" w:hanging="0"/>
      </w:pPr>
    </w:lvl>
    <w:lvl w:ilvl="4">
      <w:start w:val="1"/>
      <w:numFmt w:val="decimal"/>
      <w:suff w:val="tab"/>
      <w:lvlText w:val=""/>
      <w:lvlJc w:val="left"/>
      <w:pPr>
        <w:ind w:left="0" w:hanging="0"/>
      </w:pPr>
    </w:lvl>
    <w:lvl w:ilvl="5">
      <w:start w:val="1"/>
      <w:numFmt w:val="decimal"/>
      <w:suff w:val="tab"/>
      <w:lvlText w:val=""/>
      <w:lvlJc w:val="left"/>
      <w:pPr>
        <w:ind w:left="0" w:hanging="0"/>
      </w:pPr>
    </w:lvl>
    <w:lvl w:ilvl="6">
      <w:start w:val="1"/>
      <w:numFmt w:val="decimal"/>
      <w:suff w:val="tab"/>
      <w:lvlText w:val=""/>
      <w:lvlJc w:val="left"/>
      <w:pPr>
        <w:ind w:left="0" w:hanging="0"/>
      </w:pPr>
    </w:lvl>
    <w:lvl w:ilvl="7">
      <w:start w:val="1"/>
      <w:numFmt w:val="decimal"/>
      <w:suff w:val="tab"/>
      <w:lvlText w:val=""/>
      <w:lvlJc w:val="left"/>
      <w:pPr>
        <w:ind w:left="0" w:hanging="0"/>
      </w:pPr>
    </w:lvl>
    <w:lvl w:ilvl="8">
      <w:start w:val="1"/>
      <w:numFmt w:val="decimal"/>
      <w:suff w:val="tab"/>
      <w:lvlText w:val=""/>
      <w:lvlJc w:val="left"/>
      <w:pPr>
        <w:ind w:left="0" w:hanging="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suff w:val="tab"/>
      <w:lvlText w:val="%1.%2."/>
      <w:lvlJc w:val="left"/>
      <w:pPr>
        <w:ind w:left="1080" w:hanging="719"/>
      </w:pPr>
      <w:rPr>
        <w:rFonts w:eastAsia="TimesNewRoman" w:hint="default"/>
      </w:rPr>
    </w:lvl>
    <w:lvl w:ilvl="2">
      <w:start w:val="1"/>
      <w:numFmt w:val="decimal"/>
      <w:suff w:val="tab"/>
      <w:lvlText w:val="%1.%2.%3."/>
      <w:lvlJc w:val="left"/>
      <w:pPr>
        <w:ind w:left="1080" w:hanging="719"/>
      </w:pPr>
      <w:rPr>
        <w:rFonts w:eastAsia="TimesNewRoman" w:hint="default"/>
      </w:rPr>
    </w:lvl>
    <w:lvl w:ilvl="3">
      <w:start w:val="1"/>
      <w:numFmt w:val="decimal"/>
      <w:suff w:val="tab"/>
      <w:lvlText w:val="%1.%2.%3.%4."/>
      <w:lvlJc w:val="left"/>
      <w:pPr>
        <w:ind w:left="1440" w:hanging="1079"/>
      </w:pPr>
      <w:rPr>
        <w:rFonts w:eastAsia="TimesNewRoman" w:hint="default"/>
      </w:rPr>
    </w:lvl>
    <w:lvl w:ilvl="4">
      <w:start w:val="1"/>
      <w:numFmt w:val="decimal"/>
      <w:suff w:val="tab"/>
      <w:lvlText w:val="%1.%2.%3.%4.%5."/>
      <w:lvlJc w:val="left"/>
      <w:pPr>
        <w:ind w:left="1440" w:hanging="1079"/>
      </w:pPr>
      <w:rPr>
        <w:rFonts w:eastAsia="TimesNewRoman" w:hint="default"/>
      </w:rPr>
    </w:lvl>
    <w:lvl w:ilvl="5">
      <w:start w:val="1"/>
      <w:numFmt w:val="decimal"/>
      <w:suff w:val="tab"/>
      <w:lvlText w:val="%1.%2.%3.%4.%5.%6."/>
      <w:lvlJc w:val="left"/>
      <w:pPr>
        <w:ind w:left="1800" w:hanging="1439"/>
      </w:pPr>
      <w:rPr>
        <w:rFonts w:eastAsia="TimesNewRoman" w:hint="default"/>
      </w:rPr>
    </w:lvl>
    <w:lvl w:ilvl="6">
      <w:start w:val="1"/>
      <w:numFmt w:val="decimal"/>
      <w:suff w:val="tab"/>
      <w:lvlText w:val="%1.%2.%3.%4.%5.%6.%7."/>
      <w:lvlJc w:val="left"/>
      <w:pPr>
        <w:ind w:left="1800" w:hanging="1439"/>
      </w:pPr>
      <w:rPr>
        <w:rFonts w:eastAsia="TimesNewRoman" w:hint="default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799"/>
      </w:pPr>
      <w:rPr>
        <w:rFonts w:eastAsia="TimesNewRoman" w:hint="default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59"/>
      </w:pPr>
      <w:rPr>
        <w:rFonts w:eastAsia="TimesNewRoman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00" w:hanging="359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suff w:val="tab"/>
      <w:lvlText w:val=""/>
      <w:lvlJc w:val="left"/>
      <w:pPr>
        <w:ind w:left="2520" w:hanging="359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40" w:hanging="359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60" w:hanging="359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suff w:val="tab"/>
      <w:lvlText w:val=""/>
      <w:lvlJc w:val="left"/>
      <w:pPr>
        <w:ind w:left="4680" w:hanging="359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00" w:hanging="359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20" w:hanging="359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suff w:val="tab"/>
      <w:lvlText w:val=""/>
      <w:lvlJc w:val="left"/>
      <w:pPr>
        <w:ind w:left="6840" w:hanging="359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0"/>
    <w:next w:val="1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0"/>
    <w:next w:val="1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0"/>
    <w:next w:val="1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1"/>
    <w:link w:val="32"/>
    <w:uiPriority w:val="10"/>
    <w:rPr>
      <w:sz w:val="48"/>
      <w:szCs w:val="48"/>
    </w:r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1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1"/>
    <w:link w:val="40"/>
    <w:uiPriority w:val="99"/>
  </w:style>
  <w:style w:type="paragraph" w:styleId="42">
    <w:name w:val="Footer"/>
    <w:basedOn w:val="1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1"/>
    <w:link w:val="42"/>
    <w:uiPriority w:val="99"/>
  </w:style>
  <w:style w:type="table" w:styleId="45">
    <w:name w:val="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1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</w:style>
  <w:style w:type="character" w:styleId="171" w:default="1">
    <w:name w:val="Default Paragraph Font"/>
    <w:uiPriority w:val="1"/>
    <w:semiHidden/>
    <w:unhideWhenUsed/>
  </w:style>
  <w:style w:type="table" w:styleId="1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3" w:default="1">
    <w:name w:val="No List"/>
    <w:uiPriority w:val="99"/>
    <w:semiHidden/>
    <w:unhideWhenUsed/>
  </w:style>
  <w:style w:type="paragraph" w:styleId="174">
    <w:name w:val="Normal (Web)"/>
    <w:basedOn w:val="1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175">
    <w:name w:val="Strong"/>
    <w:basedOn w:val="171"/>
    <w:qFormat/>
    <w:uiPriority w:val="22"/>
    <w:rPr>
      <w:b/>
      <w:bCs/>
    </w:rPr>
  </w:style>
  <w:style w:type="character" w:styleId="176" w:customStyle="1">
    <w:name w:val="apple-converted-space"/>
    <w:basedOn w:val="171"/>
  </w:style>
  <w:style w:type="paragraph" w:styleId="177">
    <w:name w:val="Balloon Text"/>
    <w:basedOn w:val="170"/>
    <w:link w:val="17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8" w:customStyle="1">
    <w:name w:val="Текст у виносці Знак"/>
    <w:basedOn w:val="171"/>
    <w:link w:val="177"/>
    <w:uiPriority w:val="99"/>
    <w:semiHidden/>
    <w:rPr>
      <w:rFonts w:ascii="Tahoma" w:hAnsi="Tahoma" w:cs="Tahoma"/>
      <w:sz w:val="16"/>
      <w:szCs w:val="16"/>
    </w:rPr>
  </w:style>
  <w:style w:type="paragraph" w:styleId="179">
    <w:name w:val="Body Text 2"/>
    <w:basedOn w:val="170"/>
    <w:link w:val="180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180" w:customStyle="1">
    <w:name w:val="Основний текст 2 Знак"/>
    <w:basedOn w:val="171"/>
    <w:link w:val="179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181" w:customStyle="1">
    <w:name w:val="Основной текст (3)_"/>
    <w:basedOn w:val="171"/>
    <w:link w:val="182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182" w:customStyle="1">
    <w:name w:val="Основной текст (3)"/>
    <w:basedOn w:val="170"/>
    <w:link w:val="181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auto" w:fill="FFFFFF"/>
      <w:widowControl w:val="off"/>
    </w:pPr>
  </w:style>
  <w:style w:type="character" w:styleId="183" w:customStyle="1">
    <w:name w:val="Основной текст (2)_"/>
    <w:basedOn w:val="171"/>
    <w:link w:val="184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184" w:customStyle="1">
    <w:name w:val="Основной текст (2)"/>
    <w:basedOn w:val="170"/>
    <w:link w:val="183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auto" w:fill="FFFFFF"/>
      <w:widowControl w:val="off"/>
    </w:pPr>
  </w:style>
  <w:style w:type="character" w:styleId="185" w:customStyle="1">
    <w:name w:val="Основной текст (4)_"/>
    <w:basedOn w:val="171"/>
    <w:link w:val="186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auto" w:fill="FFFFFF"/>
    </w:rPr>
  </w:style>
  <w:style w:type="paragraph" w:styleId="186" w:customStyle="1">
    <w:name w:val="Основной текст (4)"/>
    <w:basedOn w:val="170"/>
    <w:link w:val="185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auto" w:fill="FFFFFF"/>
      <w:widowControl w:val="off"/>
    </w:pPr>
  </w:style>
  <w:style w:type="character" w:styleId="187" w:customStyle="1">
    <w:name w:val="Заголовок №1_"/>
    <w:basedOn w:val="171"/>
    <w:link w:val="188"/>
    <w:rPr>
      <w:rFonts w:ascii="Times New Roman" w:hAnsi="Times New Roman" w:cs="Times New Roman" w:eastAsia="Times New Roman"/>
      <w:b/>
      <w:bCs/>
      <w:sz w:val="28"/>
      <w:szCs w:val="28"/>
      <w:shd w:val="clear" w:color="auto" w:fill="FFFFFF"/>
    </w:rPr>
  </w:style>
  <w:style w:type="paragraph" w:styleId="188" w:customStyle="1">
    <w:name w:val="Заголовок №1"/>
    <w:basedOn w:val="170"/>
    <w:link w:val="187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auto" w:fill="FFFFFF"/>
      <w:widowControl w:val="off"/>
      <w:outlineLvl w:val="0"/>
    </w:pPr>
  </w:style>
  <w:style w:type="character" w:styleId="189" w:customStyle="1">
    <w:name w:val="Основной текст (3) + Интервал 3 pt"/>
    <w:basedOn w:val="181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bidi="uk-UA" w:eastAsia="uk-UA"/>
    </w:rPr>
  </w:style>
  <w:style w:type="character" w:styleId="190" w:customStyle="1">
    <w:name w:val="Основной текст (4) + Не полужирный"/>
    <w:basedOn w:val="185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bidi="uk-UA" w:eastAsia="uk-UA"/>
    </w:rPr>
  </w:style>
  <w:style w:type="character" w:styleId="191" w:customStyle="1">
    <w:name w:val="Заголовок №1 Exact"/>
    <w:basedOn w:val="171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dstrike w:val="false"/>
      <w:sz w:val="28"/>
      <w:szCs w:val="28"/>
      <w:u w:val="none"/>
    </w:rPr>
  </w:style>
  <w:style w:type="character" w:styleId="192">
    <w:name w:val="Emphasis"/>
    <w:basedOn w:val="171"/>
    <w:qFormat/>
    <w:uiPriority w:val="20"/>
    <w:rPr>
      <w:i/>
      <w:iCs/>
    </w:rPr>
  </w:style>
  <w:style w:type="paragraph" w:styleId="193">
    <w:name w:val="List Paragraph"/>
    <w:basedOn w:val="170"/>
    <w:link w:val="194"/>
    <w:qFormat/>
    <w:uiPriority w:val="34"/>
    <w:pPr>
      <w:contextualSpacing w:val="true"/>
      <w:ind w:left="720"/>
    </w:pPr>
  </w:style>
  <w:style w:type="character" w:styleId="194" w:customStyle="1">
    <w:name w:val="Абзац списку Знак"/>
    <w:link w:val="193"/>
    <w:uiPriority w:val="34"/>
  </w:style>
  <w:style w:type="character" w:styleId="195" w:customStyle="1">
    <w:name w:val="Основной текст_"/>
    <w:link w:val="196"/>
    <w:uiPriority w:val="99"/>
    <w:rPr>
      <w:sz w:val="25"/>
      <w:szCs w:val="25"/>
      <w:shd w:val="clear" w:color="auto" w:fill="FFFFFF"/>
    </w:rPr>
  </w:style>
  <w:style w:type="paragraph" w:styleId="196" w:customStyle="1">
    <w:name w:val="Основной текст1"/>
    <w:basedOn w:val="170"/>
    <w:link w:val="195"/>
    <w:uiPriority w:val="99"/>
    <w:rPr>
      <w:sz w:val="25"/>
      <w:szCs w:val="25"/>
    </w:rPr>
    <w:pPr>
      <w:ind w:hanging="439"/>
      <w:jc w:val="both"/>
      <w:spacing w:lineRule="atLeast" w:line="240" w:after="60" w:before="360"/>
      <w:shd w:val="clear" w:color="auto" w:fill="FFFFFF"/>
      <w:widowControl w:val="off"/>
    </w:pPr>
  </w:style>
  <w:style w:type="table" w:styleId="197">
    <w:name w:val="Table Grid"/>
    <w:basedOn w:val="172"/>
    <w:uiPriority w:val="59"/>
    <w:rPr>
      <w:rFonts w:ascii="Calibri" w:hAnsi="Calibri" w:cs="Times New Roman" w:eastAsia="Calibri"/>
      <w:sz w:val="20"/>
      <w:szCs w:val="20"/>
      <w:lang w:eastAsia="uk-UA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_1511">
    <w:name w:val="Звичайний"/>
    <w:next w:val="294"/>
    <w:link w:val="29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