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56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433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</w:t>
      </w:r>
      <w:bookmarkStart w:id="0" w:name="_GoBack"/>
      <w:r/>
      <w:bookmarkEnd w:id="0"/>
      <w:r>
        <w:rPr>
          <w:b/>
          <w:color w:val="000000"/>
        </w:rPr>
        <w:t xml:space="preserve">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</w:t>
      </w:r>
      <w:r>
        <w:rPr>
          <w:color w:val="000000"/>
          <w:sz w:val="28"/>
          <w:szCs w:val="28"/>
          <w:lang w:eastAsia="uk-UA"/>
        </w:rPr>
        <w:t xml:space="preserve">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фінансування Програми підвищення обороноздатності та безпеки населених </w:t>
      </w:r>
      <w:r>
        <w:rPr>
          <w:color w:val="000000"/>
          <w:sz w:val="28"/>
          <w:szCs w:val="28"/>
          <w:lang w:eastAsia="uk-UA"/>
        </w:rPr>
        <w:t xml:space="preserve">пунктів Менської міської територіальної громади в умовах воєнного стану</w:t>
      </w:r>
      <w:r>
        <w:rPr>
          <w:color w:val="000000"/>
          <w:sz w:val="28"/>
          <w:szCs w:val="28"/>
          <w:lang w:eastAsia="uk-UA"/>
        </w:rPr>
        <w:t xml:space="preserve"> на 2023 рік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за електроенергію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1784,64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за природн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й газ</w:t>
      </w:r>
      <w:r>
        <w:rPr>
          <w:color w:val="000000"/>
          <w:sz w:val="28"/>
          <w:szCs w:val="28"/>
          <w:lang w:eastAsia="uk-UA"/>
        </w:rPr>
        <w:t xml:space="preserve"> 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8230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2273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1784,64 </w:t>
      </w:r>
      <w:r>
        <w:rPr>
          <w:color w:val="000000"/>
          <w:sz w:val="28"/>
          <w:szCs w:val="28"/>
          <w:lang w:eastAsia="uk-UA"/>
        </w:rPr>
        <w:t xml:space="preserve">грн., </w:t>
      </w:r>
      <w:r>
        <w:rPr>
          <w:color w:val="000000"/>
          <w:sz w:val="28"/>
          <w:szCs w:val="28"/>
          <w:lang w:eastAsia="uk-UA"/>
        </w:rPr>
        <w:t xml:space="preserve">КЕКВ 2274 +</w:t>
      </w:r>
      <w:r>
        <w:rPr>
          <w:color w:val="000000"/>
          <w:sz w:val="28"/>
          <w:szCs w:val="28"/>
          <w:lang w:eastAsia="uk-UA"/>
        </w:rPr>
        <w:t xml:space="preserve">1784,64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Менської міської ради в частині фінансування Програми</w:t>
      </w:r>
      <w:r>
        <w:rPr>
          <w:color w:val="000000"/>
          <w:sz w:val="28"/>
          <w:szCs w:val="28"/>
          <w:lang w:eastAsia="uk-UA"/>
        </w:rPr>
        <w:t xml:space="preserve">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роки, а саме: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виплат населенню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22000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 на таку ж суму (оплата послуг перевезення)</w:t>
      </w:r>
      <w:r/>
    </w:p>
    <w:p>
      <w:pPr>
        <w:pStyle w:val="855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118220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2730 -22000,00 грн., КЕКВ 2240 +22000,00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з надання дошкільної освіти, а саме: 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придбання предметів, матеріалів, обладнання та інвентарю на суму 7</w:t>
      </w:r>
      <w:r>
        <w:rPr>
          <w:color w:val="000000"/>
          <w:sz w:val="28"/>
          <w:szCs w:val="28"/>
          <w:lang w:eastAsia="uk-UA"/>
        </w:rPr>
        <w:t xml:space="preserve">90,00 грн.;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продуктів</w:t>
      </w:r>
      <w:r>
        <w:rPr>
          <w:color w:val="000000"/>
          <w:sz w:val="28"/>
          <w:szCs w:val="28"/>
          <w:lang w:eastAsia="uk-UA"/>
        </w:rPr>
        <w:t xml:space="preserve"> харчування на суму 310,00 грн.;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за прир</w:t>
      </w:r>
      <w:r>
        <w:rPr>
          <w:color w:val="000000"/>
          <w:sz w:val="28"/>
          <w:szCs w:val="28"/>
          <w:lang w:eastAsia="uk-UA"/>
        </w:rPr>
        <w:t xml:space="preserve">одн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й газ на суму 20000,00 грн.; 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 xml:space="preserve">збільшити кошторисн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 призначен</w:t>
      </w:r>
      <w:r>
        <w:rPr>
          <w:color w:val="000000"/>
          <w:sz w:val="28"/>
          <w:szCs w:val="28"/>
          <w:lang w:eastAsia="uk-UA"/>
        </w:rPr>
        <w:t xml:space="preserve">ня</w:t>
      </w:r>
      <w:r>
        <w:rPr>
          <w:color w:val="000000"/>
          <w:sz w:val="28"/>
          <w:szCs w:val="28"/>
          <w:lang w:eastAsia="uk-UA"/>
        </w:rPr>
        <w:t xml:space="preserve"> для оплати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17220</w:t>
      </w:r>
      <w:r>
        <w:rPr>
          <w:color w:val="000000"/>
          <w:sz w:val="28"/>
          <w:szCs w:val="28"/>
          <w:lang w:eastAsia="uk-UA"/>
        </w:rPr>
        <w:t xml:space="preserve">,00 грн. (виготовлення технічної документації)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окремих заходів по реалізації державних (регіональних) програм, не віднесених до заходів розвитку  на суму 3750,</w:t>
      </w:r>
      <w:r>
        <w:rPr>
          <w:color w:val="000000"/>
          <w:sz w:val="28"/>
          <w:szCs w:val="28"/>
          <w:lang w:eastAsia="uk-UA"/>
        </w:rPr>
        <w:t xml:space="preserve">00 грн. (адміністративний збір);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інших поточних видатків на суму 130,00 грн.(навчання працівників)</w:t>
      </w:r>
      <w:r/>
    </w:p>
    <w:p>
      <w:pPr>
        <w:pStyle w:val="855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2210 -</w:t>
      </w:r>
      <w:r>
        <w:rPr>
          <w:color w:val="000000"/>
          <w:sz w:val="28"/>
          <w:szCs w:val="28"/>
          <w:lang w:eastAsia="uk-UA"/>
        </w:rPr>
        <w:t xml:space="preserve">790,00 грн., КЕКВ 2230 -310,00 грн., КЕКВ 2274 -20000,00 грн., КЕКВ 2240 +17220,00 грн., КЕКВ 2282 +3750,00 грн., КЕКВ 2800 +130,00 грн.).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</w:t>
      </w:r>
      <w:r>
        <w:rPr>
          <w:color w:val="000000"/>
          <w:sz w:val="28"/>
          <w:szCs w:val="28"/>
          <w:lang w:eastAsia="uk-UA"/>
        </w:rPr>
        <w:t xml:space="preserve">ди з надання дошкільної освіти, а саме: зменшити кошторисні призначення для оплати за водопостачання та водовідведення у грудні місяці на суму 7611,00 грн., відповідно збільшити кошторисні призначення за вказаним напрямком у листопаді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2272).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природн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й газ на суму 72000,00 грн.;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інших енергоносіїв та інших комунальних послуг на суму 1100,00 грн.;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придбання предметів, матеріалів, обладнання та інвентарю на суму 1100,00 грн.;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оплати за електроенергію на суму 72000,00 грн.</w:t>
      </w:r>
      <w:r/>
    </w:p>
    <w:p>
      <w:pPr>
        <w:pStyle w:val="855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2274 -72000,00 грн., КЕКВ </w:t>
      </w:r>
      <w:r>
        <w:rPr>
          <w:color w:val="000000"/>
          <w:sz w:val="28"/>
          <w:szCs w:val="28"/>
          <w:lang w:eastAsia="uk-UA"/>
        </w:rPr>
        <w:t xml:space="preserve">2275 -1100,00 грн., КЕКВ 2210 +1100,00 грн., КЕКВ 2273 +72000,00 грн.).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річної суми кошторисних призначень загального фонду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освітньої субвенції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заробітної плати на суму 222128,00 </w:t>
      </w:r>
      <w:r>
        <w:rPr>
          <w:color w:val="000000"/>
          <w:sz w:val="28"/>
          <w:szCs w:val="28"/>
          <w:lang w:eastAsia="uk-UA"/>
        </w:rPr>
        <w:t xml:space="preserve">тис.грн</w:t>
      </w:r>
      <w:r>
        <w:rPr>
          <w:color w:val="000000"/>
          <w:sz w:val="28"/>
          <w:szCs w:val="28"/>
          <w:lang w:eastAsia="uk-UA"/>
        </w:rPr>
        <w:t xml:space="preserve">., відповідно збільшити річну суму кошторисних призначень для нарахувань на оплату праці на таку ж суму</w:t>
      </w:r>
      <w:r/>
    </w:p>
    <w:p>
      <w:pPr>
        <w:pStyle w:val="855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0611031 КЕКВ 2111 -222128,00 грн., КЕКВ 2120 +222128,00 грн.).</w:t>
      </w:r>
      <w:r/>
    </w:p>
    <w:p>
      <w:pPr>
        <w:pStyle w:val="855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fldSimple w:instr="PAGE \* MERGEFORMAT">
      <w:r>
        <w:t xml:space="preserve">1</w:t>
      </w:r>
    </w:fldSimple>
    <w:r/>
    <w:r/>
  </w:p>
  <w:p>
    <w:pPr>
      <w:pStyle w:val="86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7"/>
  </w:num>
  <w:num w:numId="3">
    <w:abstractNumId w:val="18"/>
  </w:num>
  <w:num w:numId="4">
    <w:abstractNumId w:val="26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38"/>
  </w:num>
  <w:num w:numId="15">
    <w:abstractNumId w:val="24"/>
  </w:num>
  <w:num w:numId="16">
    <w:abstractNumId w:val="41"/>
  </w:num>
  <w:num w:numId="17">
    <w:abstractNumId w:val="39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29"/>
  </w:num>
  <w:num w:numId="23">
    <w:abstractNumId w:val="22"/>
  </w:num>
  <w:num w:numId="24">
    <w:abstractNumId w:val="25"/>
  </w:num>
  <w:num w:numId="25">
    <w:abstractNumId w:val="17"/>
  </w:num>
  <w:num w:numId="26">
    <w:abstractNumId w:val="11"/>
  </w:num>
  <w:num w:numId="27">
    <w:abstractNumId w:val="23"/>
  </w:num>
  <w:num w:numId="28">
    <w:abstractNumId w:val="3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6"/>
  </w:num>
  <w:num w:numId="32">
    <w:abstractNumId w:val="34"/>
  </w:num>
  <w:num w:numId="33">
    <w:abstractNumId w:val="32"/>
  </w:num>
  <w:num w:numId="34">
    <w:abstractNumId w:val="1"/>
  </w:num>
  <w:num w:numId="35">
    <w:abstractNumId w:val="21"/>
  </w:num>
  <w:num w:numId="36">
    <w:abstractNumId w:val="7"/>
  </w:num>
  <w:num w:numId="37">
    <w:abstractNumId w:val="28"/>
  </w:num>
  <w:num w:numId="38">
    <w:abstractNumId w:val="31"/>
  </w:num>
  <w:num w:numId="39">
    <w:abstractNumId w:val="35"/>
  </w:num>
  <w:num w:numId="40">
    <w:abstractNumId w:val="12"/>
  </w:num>
  <w:num w:numId="41">
    <w:abstractNumId w:val="42"/>
  </w:num>
  <w:num w:numId="42">
    <w:abstractNumId w:val="3"/>
  </w:num>
  <w:num w:numId="43">
    <w:abstractNumId w:val="36"/>
  </w:num>
  <w:num w:numId="44">
    <w:abstractNumId w:val="4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31"/>
    <w:link w:val="857"/>
    <w:uiPriority w:val="10"/>
    <w:rPr>
      <w:sz w:val="48"/>
      <w:szCs w:val="48"/>
    </w:rPr>
  </w:style>
  <w:style w:type="character" w:styleId="35">
    <w:name w:val="Subtitle Char"/>
    <w:basedOn w:val="731"/>
    <w:link w:val="859"/>
    <w:uiPriority w:val="11"/>
    <w:rPr>
      <w:sz w:val="24"/>
      <w:szCs w:val="24"/>
    </w:rPr>
  </w:style>
  <w:style w:type="character" w:styleId="37">
    <w:name w:val="Quote Char"/>
    <w:link w:val="861"/>
    <w:uiPriority w:val="29"/>
    <w:rPr>
      <w:i/>
    </w:rPr>
  </w:style>
  <w:style w:type="character" w:styleId="39">
    <w:name w:val="Intense Quote Char"/>
    <w:link w:val="863"/>
    <w:uiPriority w:val="30"/>
    <w:rPr>
      <w:i/>
    </w:rPr>
  </w:style>
  <w:style w:type="character" w:styleId="41">
    <w:name w:val="Header Char"/>
    <w:basedOn w:val="731"/>
    <w:link w:val="865"/>
    <w:uiPriority w:val="99"/>
  </w:style>
  <w:style w:type="character" w:styleId="43">
    <w:name w:val="Footer Char"/>
    <w:basedOn w:val="731"/>
    <w:link w:val="867"/>
    <w:uiPriority w:val="99"/>
  </w:style>
  <w:style w:type="table" w:styleId="48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92"/>
    <w:uiPriority w:val="99"/>
    <w:rPr>
      <w:sz w:val="18"/>
    </w:rPr>
  </w:style>
  <w:style w:type="character" w:styleId="177">
    <w:name w:val="Endnote Text Char"/>
    <w:link w:val="736"/>
    <w:uiPriority w:val="99"/>
    <w:rPr>
      <w:sz w:val="20"/>
    </w:rPr>
  </w:style>
  <w:style w:type="paragraph" w:styleId="72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22">
    <w:name w:val="Heading 1"/>
    <w:basedOn w:val="721"/>
    <w:next w:val="721"/>
    <w:link w:val="8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8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8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8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8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85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85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85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8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paragraph" w:styleId="734">
    <w:name w:val="Caption"/>
    <w:basedOn w:val="721"/>
    <w:next w:val="7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721"/>
    <w:link w:val="737"/>
    <w:uiPriority w:val="99"/>
    <w:semiHidden/>
    <w:unhideWhenUsed/>
    <w:rPr>
      <w:sz w:val="20"/>
    </w:rPr>
  </w:style>
  <w:style w:type="character" w:styleId="737" w:customStyle="1">
    <w:name w:val="Текст концевой сноски Знак"/>
    <w:link w:val="736"/>
    <w:uiPriority w:val="99"/>
    <w:rPr>
      <w:sz w:val="20"/>
    </w:rPr>
  </w:style>
  <w:style w:type="character" w:styleId="738">
    <w:name w:val="endnote reference"/>
    <w:basedOn w:val="731"/>
    <w:uiPriority w:val="99"/>
    <w:semiHidden/>
    <w:unhideWhenUsed/>
    <w:rPr>
      <w:vertAlign w:val="superscript"/>
    </w:rPr>
  </w:style>
  <w:style w:type="paragraph" w:styleId="739">
    <w:name w:val="table of figures"/>
    <w:basedOn w:val="721"/>
    <w:next w:val="721"/>
    <w:uiPriority w:val="99"/>
    <w:unhideWhenUsed/>
  </w:style>
  <w:style w:type="table" w:styleId="740" w:customStyle="1">
    <w:name w:val="Table Grid Light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Звичайна таблиця 11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21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Звичайна таблиця 3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Звичайна таблиця 4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Звичайна таблиця 5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Таблиця-сітка 1 (світла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я-сітка 2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Таблиця-сітка 3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Таблиця-сітка 4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Таблиця-сітка 5 (темна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Таблиця-сітка 6 (кольорова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Таблиця-сітка 7 (кольорова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писок 1 (світлий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писок 2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Таблиця-список 3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я-список 4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Таблиця-список 5 (темний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Таблиця-список 6 (кольоровий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Таблиця-список 7 (кольоровий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5" w:customStyle="1">
    <w:name w:val="Bordered &amp; Lined - Accent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6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847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848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849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850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851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852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3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854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855">
    <w:name w:val="List Paragraph"/>
    <w:basedOn w:val="721"/>
    <w:qFormat/>
    <w:uiPriority w:val="34"/>
    <w:pPr>
      <w:contextualSpacing w:val="true"/>
      <w:ind w:left="720"/>
    </w:pPr>
  </w:style>
  <w:style w:type="paragraph" w:styleId="856">
    <w:name w:val="No Spacing"/>
    <w:qFormat/>
    <w:uiPriority w:val="1"/>
    <w:pPr>
      <w:spacing w:lineRule="auto" w:line="240" w:after="0"/>
    </w:pPr>
  </w:style>
  <w:style w:type="paragraph" w:styleId="857">
    <w:name w:val="Title"/>
    <w:basedOn w:val="721"/>
    <w:next w:val="721"/>
    <w:link w:val="8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8" w:customStyle="1">
    <w:name w:val="Название Знак"/>
    <w:basedOn w:val="731"/>
    <w:link w:val="857"/>
    <w:uiPriority w:val="10"/>
    <w:rPr>
      <w:sz w:val="48"/>
      <w:szCs w:val="48"/>
    </w:rPr>
  </w:style>
  <w:style w:type="paragraph" w:styleId="859">
    <w:name w:val="Subtitle"/>
    <w:basedOn w:val="721"/>
    <w:next w:val="721"/>
    <w:link w:val="860"/>
    <w:qFormat/>
    <w:uiPriority w:val="11"/>
    <w:rPr>
      <w:sz w:val="24"/>
      <w:szCs w:val="24"/>
    </w:rPr>
    <w:pPr>
      <w:spacing w:after="200" w:before="200"/>
    </w:pPr>
  </w:style>
  <w:style w:type="character" w:styleId="860" w:customStyle="1">
    <w:name w:val="Подзаголовок Знак"/>
    <w:basedOn w:val="731"/>
    <w:link w:val="859"/>
    <w:uiPriority w:val="11"/>
    <w:rPr>
      <w:sz w:val="24"/>
      <w:szCs w:val="24"/>
    </w:rPr>
  </w:style>
  <w:style w:type="paragraph" w:styleId="861">
    <w:name w:val="Quote"/>
    <w:basedOn w:val="721"/>
    <w:next w:val="721"/>
    <w:link w:val="862"/>
    <w:qFormat/>
    <w:uiPriority w:val="29"/>
    <w:rPr>
      <w:i/>
    </w:rPr>
    <w:pPr>
      <w:ind w:left="720" w:right="720"/>
    </w:pPr>
  </w:style>
  <w:style w:type="character" w:styleId="862" w:customStyle="1">
    <w:name w:val="Цитата 2 Знак"/>
    <w:link w:val="861"/>
    <w:uiPriority w:val="29"/>
    <w:rPr>
      <w:i/>
    </w:rPr>
  </w:style>
  <w:style w:type="paragraph" w:styleId="863">
    <w:name w:val="Intense Quote"/>
    <w:basedOn w:val="721"/>
    <w:next w:val="721"/>
    <w:link w:val="8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4" w:customStyle="1">
    <w:name w:val="Выделенная цитата Знак"/>
    <w:link w:val="863"/>
    <w:uiPriority w:val="30"/>
    <w:rPr>
      <w:i/>
    </w:rPr>
  </w:style>
  <w:style w:type="paragraph" w:styleId="865">
    <w:name w:val="Header"/>
    <w:basedOn w:val="721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6" w:customStyle="1">
    <w:name w:val="Верхний колонтитул Знак"/>
    <w:basedOn w:val="731"/>
    <w:link w:val="865"/>
    <w:uiPriority w:val="99"/>
  </w:style>
  <w:style w:type="paragraph" w:styleId="867">
    <w:name w:val="Footer"/>
    <w:basedOn w:val="721"/>
    <w:link w:val="8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8" w:customStyle="1">
    <w:name w:val="Нижний колонтитул Знак"/>
    <w:basedOn w:val="731"/>
    <w:link w:val="867"/>
    <w:uiPriority w:val="99"/>
  </w:style>
  <w:style w:type="table" w:styleId="869">
    <w:name w:val="Table Grid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Lined - Accent 1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Lined - Accent 2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Lined - Accent 3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4" w:customStyle="1">
    <w:name w:val="Lined - Accent 4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Lined - Accent 5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Lined - Accent 6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7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8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9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0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1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2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3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4" w:customStyle="1">
    <w:name w:val="Bordered &amp; Lined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Bordered &amp; Lined - Accent 1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6" w:customStyle="1">
    <w:name w:val="Bordered &amp; Lined - Accent 2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7" w:customStyle="1">
    <w:name w:val="Bordered &amp; Lined - Accent 3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8" w:customStyle="1">
    <w:name w:val="Bordered &amp; Lined - Accent 4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9" w:customStyle="1">
    <w:name w:val="Bordered &amp; Lined - Accent 5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0" w:customStyle="1">
    <w:name w:val="Bordered &amp; Lined - Accent 6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basedOn w:val="721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basedOn w:val="731"/>
    <w:uiPriority w:val="99"/>
    <w:unhideWhenUsed/>
    <w:rPr>
      <w:vertAlign w:val="superscript"/>
    </w:rPr>
  </w:style>
  <w:style w:type="paragraph" w:styleId="895">
    <w:name w:val="toc 1"/>
    <w:basedOn w:val="721"/>
    <w:next w:val="721"/>
    <w:uiPriority w:val="39"/>
    <w:unhideWhenUsed/>
    <w:pPr>
      <w:ind w:firstLine="0"/>
      <w:spacing w:after="57"/>
    </w:pPr>
  </w:style>
  <w:style w:type="paragraph" w:styleId="896">
    <w:name w:val="toc 2"/>
    <w:basedOn w:val="721"/>
    <w:next w:val="721"/>
    <w:uiPriority w:val="39"/>
    <w:unhideWhenUsed/>
    <w:pPr>
      <w:ind w:left="283" w:firstLine="0"/>
      <w:spacing w:after="57"/>
    </w:pPr>
  </w:style>
  <w:style w:type="paragraph" w:styleId="897">
    <w:name w:val="toc 3"/>
    <w:basedOn w:val="721"/>
    <w:next w:val="721"/>
    <w:uiPriority w:val="39"/>
    <w:unhideWhenUsed/>
    <w:pPr>
      <w:ind w:left="567" w:firstLine="0"/>
      <w:spacing w:after="57"/>
    </w:pPr>
  </w:style>
  <w:style w:type="paragraph" w:styleId="898">
    <w:name w:val="toc 4"/>
    <w:basedOn w:val="721"/>
    <w:next w:val="721"/>
    <w:uiPriority w:val="39"/>
    <w:unhideWhenUsed/>
    <w:pPr>
      <w:ind w:left="850" w:firstLine="0"/>
      <w:spacing w:after="57"/>
    </w:pPr>
  </w:style>
  <w:style w:type="paragraph" w:styleId="899">
    <w:name w:val="toc 5"/>
    <w:basedOn w:val="721"/>
    <w:next w:val="721"/>
    <w:uiPriority w:val="39"/>
    <w:unhideWhenUsed/>
    <w:pPr>
      <w:ind w:left="1134" w:firstLine="0"/>
      <w:spacing w:after="57"/>
    </w:pPr>
  </w:style>
  <w:style w:type="paragraph" w:styleId="900">
    <w:name w:val="toc 6"/>
    <w:basedOn w:val="721"/>
    <w:next w:val="721"/>
    <w:uiPriority w:val="39"/>
    <w:unhideWhenUsed/>
    <w:pPr>
      <w:ind w:left="1417" w:firstLine="0"/>
      <w:spacing w:after="57"/>
    </w:pPr>
  </w:style>
  <w:style w:type="paragraph" w:styleId="901">
    <w:name w:val="toc 7"/>
    <w:basedOn w:val="721"/>
    <w:next w:val="721"/>
    <w:uiPriority w:val="39"/>
    <w:unhideWhenUsed/>
    <w:pPr>
      <w:ind w:left="1701" w:firstLine="0"/>
      <w:spacing w:after="57"/>
    </w:pPr>
  </w:style>
  <w:style w:type="paragraph" w:styleId="902">
    <w:name w:val="toc 8"/>
    <w:basedOn w:val="721"/>
    <w:next w:val="721"/>
    <w:uiPriority w:val="39"/>
    <w:unhideWhenUsed/>
    <w:pPr>
      <w:ind w:left="1984" w:firstLine="0"/>
      <w:spacing w:after="57"/>
    </w:pPr>
  </w:style>
  <w:style w:type="paragraph" w:styleId="903">
    <w:name w:val="toc 9"/>
    <w:basedOn w:val="721"/>
    <w:next w:val="721"/>
    <w:uiPriority w:val="39"/>
    <w:unhideWhenUsed/>
    <w:pPr>
      <w:ind w:left="2268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Balloon Text"/>
    <w:basedOn w:val="721"/>
    <w:link w:val="906"/>
    <w:uiPriority w:val="99"/>
    <w:semiHidden/>
    <w:unhideWhenUsed/>
    <w:rPr>
      <w:rFonts w:ascii="Tahoma" w:hAnsi="Tahoma" w:cs="Tahoma"/>
      <w:sz w:val="16"/>
      <w:szCs w:val="16"/>
    </w:rPr>
  </w:style>
  <w:style w:type="character" w:styleId="906" w:customStyle="1">
    <w:name w:val="Текст выноски Знак"/>
    <w:basedOn w:val="731"/>
    <w:link w:val="905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07" w:customStyle="1">
    <w:name w:val="docdata"/>
    <w:basedOn w:val="72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3C245A6-EEA5-4242-82CD-E852790994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615</cp:revision>
  <dcterms:created xsi:type="dcterms:W3CDTF">2021-11-01T07:03:00Z</dcterms:created>
  <dcterms:modified xsi:type="dcterms:W3CDTF">2023-11-03T12:56:15Z</dcterms:modified>
</cp:coreProperties>
</file>