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3"/>
        <w:jc w:val="center"/>
      </w:pPr>
      <w:r>
        <w:rPr>
          <w:lang w:val="ru-RU" w:eastAsia="ru-RU"/>
        </w:rPr>
      </w:r>
      <w:r/>
    </w:p>
    <w:p>
      <w:pPr>
        <w:pStyle w:val="743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ли</w:t>
      </w:r>
      <w:r>
        <w:rPr>
          <w:rFonts w:ascii="Times New Roman" w:hAnsi="Times New Roman" w:cs="Mangal"/>
          <w:sz w:val="28"/>
          <w:szCs w:val="28"/>
          <w:lang w:val="uk-UA"/>
        </w:rPr>
        <w:t xml:space="preserve">стопада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  <w:tab/>
        <w:t xml:space="preserve">№ 367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5528" w:firstLine="0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Порядку доступу до публічної інформації Менської міської ради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Відповідно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доступ до публічної інформації», з</w:t>
      </w:r>
      <w:r>
        <w:rPr>
          <w:rFonts w:ascii="Times New Roman" w:hAnsi="Times New Roman" w:cs="Times New Roman"/>
          <w:sz w:val="28"/>
          <w:szCs w:val="28"/>
        </w:rPr>
        <w:t xml:space="preserve"> метою забезпечення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ефективності, </w:t>
      </w:r>
      <w:r>
        <w:rPr>
          <w:rFonts w:ascii="Times New Roman" w:hAnsi="Times New Roman" w:cs="Times New Roman"/>
          <w:sz w:val="28"/>
          <w:szCs w:val="28"/>
        </w:rPr>
        <w:t xml:space="preserve">прозорості та відкритості в діяльності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ради, реалізації права громадян на доступ до публічної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дієвих механізмів для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доступ до публічної інформації</w:t>
      </w:r>
      <w:r>
        <w:rPr>
          <w:rFonts w:ascii="Times New Roman" w:hAnsi="Times New Roman" w:cs="Times New Roman"/>
          <w:sz w:val="28"/>
          <w:szCs w:val="28"/>
        </w:rPr>
        <w:t xml:space="preserve">, керуючись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статтею 42 Закону України «Про місцеве самоврядування в Україні»: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</w:r>
      <w:r/>
    </w:p>
    <w:p>
      <w:pPr>
        <w:pStyle w:val="904"/>
        <w:ind w:firstLine="720"/>
        <w:jc w:val="both"/>
        <w:spacing w:lineRule="auto" w:line="240" w:after="0" w:afterAutospacing="0"/>
        <w:rPr>
          <w:rFonts w:ascii="Times New Roman" w:hAnsi="Times New Roman" w:cs="Times New Roman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Внести наступні зміни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доступу до публічної інформації</w: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 xml:space="preserve">складення та подання запитів на інформацію,</w:t>
      </w:r>
      <w:r>
        <w:rPr>
          <w:rFonts w:ascii="Times New Roman" w:hAnsi="Times New Roman" w:cs="Times New Roman"/>
          <w:sz w:val="28"/>
          <w:szCs w:val="28"/>
        </w:rPr>
        <w:t xml:space="preserve"> розпорядником якої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рада (далі Порядок), затвердженого розпорядженням міського голови від 07 липня 2021 року № 238:</w:t>
      </w:r>
      <w:bookmarkStart w:id="0" w:name="OLE_LINK25"/>
      <w:r>
        <w:rPr>
          <w:rFonts w:ascii="Times New Roman" w:hAnsi="Times New Roman" w:cs="Times New Roman"/>
        </w:rPr>
      </w:r>
      <w:bookmarkStart w:id="1" w:name="OLE_LINK26"/>
      <w:r/>
      <w:bookmarkEnd w:id="0"/>
      <w:r>
        <w:rPr>
          <w:rFonts w:ascii="Times New Roman" w:hAnsi="Times New Roman" w:cs="Times New Roman"/>
        </w:rPr>
      </w:r>
      <w:bookmarkEnd w:id="1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4"/>
        <w:ind w:left="720" w:firstLine="0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1.1 Доповнити пункт1 Порядку абзацем наступного змісту: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pStyle w:val="909"/>
        <w:ind w:firstLine="708"/>
        <w:jc w:val="both"/>
        <w:spacing w:lineRule="auto" w:line="240" w:after="0" w:afterAutospacing="0" w:before="0" w:beforeAutospacing="0"/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Законом, публічною є відображена та задокументова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будь-якими засобами та на будь-яких носіях інформація, що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  суб’єктів владних повноважень, інших розпорядників публічної інформації, визначених законом.</w:t>
      </w:r>
      <w:r/>
    </w:p>
    <w:p>
      <w:pPr>
        <w:pStyle w:val="910"/>
        <w:ind w:firstLine="720"/>
        <w:jc w:val="both"/>
        <w:spacing w:lineRule="auto" w:line="24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Публічна інформація є відкритою, крім випадків, встановлен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их законом. </w:t>
      </w:r>
      <w:r>
        <w:rPr>
          <w:color w:val="auto"/>
        </w:rPr>
      </w:r>
      <w:r/>
    </w:p>
    <w:p>
      <w:pPr>
        <w:pStyle w:val="910"/>
        <w:ind w:firstLine="72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до</w:t>
      </w:r>
      <w:r>
        <w:rPr>
          <w:rFonts w:ascii="Times New Roman" w:hAnsi="Times New Roman" w:cs="Times New Roman"/>
          <w:sz w:val="28"/>
          <w:szCs w:val="28"/>
        </w:rPr>
        <w:t xml:space="preserve"> публічної інформації, що перебуває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розпорядженні Менської міської ради, здійснюється шляхом:</w:t>
      </w:r>
      <w:r/>
    </w:p>
    <w:p>
      <w:pPr>
        <w:pStyle w:val="910"/>
        <w:ind w:firstLine="72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1) с</w:t>
      </w:r>
      <w:r>
        <w:rPr>
          <w:rFonts w:ascii="Times New Roman" w:hAnsi="Times New Roman" w:cs="Times New Roman"/>
          <w:sz w:val="28"/>
          <w:szCs w:val="28"/>
        </w:rPr>
        <w:t xml:space="preserve">истематичного та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оприлюднення інформації: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firstLine="72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офіційному </w:t>
      </w:r>
      <w:r>
        <w:rPr>
          <w:rFonts w:ascii="Times New Roman" w:hAnsi="Times New Roman" w:cs="Times New Roman"/>
          <w:sz w:val="28"/>
          <w:szCs w:val="28"/>
        </w:rPr>
        <w:t xml:space="preserve">веб-сайті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в мережі Інтернет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firstLine="72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 друкованих виданнях;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firstLine="72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на офіційних стендах;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firstLine="72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 - будь-яким іншим способом;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firstLine="72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2) н</w:t>
      </w:r>
      <w:r>
        <w:rPr>
          <w:rFonts w:ascii="Times New Roman" w:hAnsi="Times New Roman" w:cs="Times New Roman"/>
          <w:sz w:val="28"/>
          <w:szCs w:val="28"/>
        </w:rPr>
        <w:t xml:space="preserve">адання інформації за запитами на інформацію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firstLine="72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0"/>
        <w:ind w:firstLine="72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1.2. Доповнити Порядок пунктом 15 наступного змісту:</w:t>
      </w:r>
      <w:r>
        <w:rPr>
          <w:highlight w:val="none"/>
        </w:rPr>
      </w:r>
      <w:r/>
    </w:p>
    <w:p>
      <w:pPr>
        <w:pStyle w:val="910"/>
        <w:ind w:firstLine="720"/>
        <w:jc w:val="both"/>
        <w:spacing w:lineRule="auto" w:line="240" w:after="0" w:afterAutospacing="0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Публічна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обмеженим доступом</w:t>
      </w:r>
      <w:r>
        <w:t xml:space="preserve">:</w:t>
      </w:r>
      <w:r/>
    </w:p>
    <w:p>
      <w:pPr>
        <w:pStyle w:val="705"/>
        <w:ind w:firstLine="708"/>
        <w:jc w:val="both"/>
        <w:spacing w:lineRule="auto" w:line="240" w:after="0" w:afterAutospacing="0"/>
        <w:shd w:val="clear" w:fill="FFFFFF" w:color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15.1.</w:t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нформацією з обмеженим доступом є: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конфіденційна інформація;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таємна інформація;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службова інформація.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Обмеження в доступі до публічної інформації, що є в розпорядженні Менської міської ради, може здійснюватися виключно на підставах, визначених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дотриманні сукупності таких вимог: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виключно в інтересах національної безпеки, територіальної цілісності або громадського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запобігання заворушенням чи злочинам, для охорони здоров'я населення, для захисту репутації або прав інших людей, для запобігання розголошенню інформації, одержаної конфіденційно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для підтримання авторитету і неупередженості правосуддя;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розголошення інформації може завдати істотної шкоди цим інтересам;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шкода від оприлюднення такої інформації переважає суспільний інтерес в її отриманні.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  <w:rPr>
          <w:rFonts w:ascii="Times New Roman" w:hAnsi="Times New Roman" w:cs="Times New Roman"/>
          <w:i w:val="false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Не може бути обмежено доступ до інформації про складання, розгляд і затвердження бюджетів, кошторисів розпорядників бюджетних коштів та плани використання бюджетних коштів одержувачів бюджетних коштів, а також їх виконання за розписами, бюджетними програма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ми та видатками (крім таємних видатків відповідно до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none"/>
          <w:u w:val="none"/>
        </w:rPr>
        <w:t xml:space="preserve"> </w:t>
      </w:r>
      <w:hyperlink r:id="rId14" w:tooltip="https://zakon.rada.gov.ua/laws/show/2456-17#n685" w:history="1">
        <w:r>
          <w:rPr>
            <w:rStyle w:val="882"/>
            <w:rFonts w:ascii="Times New Roman" w:hAnsi="Times New Roman" w:cs="Times New Roman" w:eastAsia="Times New Roman"/>
            <w:i w:val="false"/>
            <w:iCs/>
            <w:color w:val="000000" w:themeColor="text1"/>
            <w:sz w:val="28"/>
            <w:szCs w:val="28"/>
            <w:highlight w:val="white"/>
            <w:u w:val="none"/>
          </w:rPr>
          <w:t xml:space="preserve">статті 31</w:t>
        </w:r>
      </w:hyperlink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Бюджетного кодексу України), взяття розпорядниками та одержувачами бюджетних коштів бюджетних зобов’язань або здійснення розпорядження бюджетними коштами у будь-який інший спосіб, планування, формування, здійснення та виконання закупівлі товарів, робіт і 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послуг за бюджетні кошти, у тому числі оборонних закупівель (крім випадків, якщо окрема інформація про закупівлі товарів, робіт і послуг становить державну таємницю відповідно до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none"/>
          <w:u w:val="none"/>
        </w:rPr>
        <w:t xml:space="preserve"> </w:t>
      </w:r>
      <w:hyperlink r:id="rId15" w:tooltip="https://zakon.rada.gov.ua/laws/show/3855-12" w:history="1">
        <w:r>
          <w:rPr>
            <w:rStyle w:val="882"/>
            <w:rFonts w:ascii="Times New Roman" w:hAnsi="Times New Roman" w:cs="Times New Roman" w:eastAsia="Times New Roman"/>
            <w:i w:val="false"/>
            <w:iCs/>
            <w:color w:val="000000" w:themeColor="text1"/>
            <w:sz w:val="28"/>
            <w:szCs w:val="28"/>
            <w:highlight w:val="white"/>
            <w:u w:val="none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"Про державну таємницю"), володіння, користування чи розпорядження державним, комунальним майном, у тому числі до копій відповідних документів, умови отримання цих коштів чи майна, прізвища, імена, по батькові фізичних осіб та найменування юридичних осіб,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 які отримали ці кошти або майно (крім випадків, передбачених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none"/>
          <w:u w:val="none"/>
        </w:rPr>
        <w:t xml:space="preserve"> </w:t>
      </w:r>
      <w:hyperlink r:id="rId16" w:tooltip="https://zakon.rada.gov.ua/laws/show/1702-20#n294" w:history="1">
        <w:r>
          <w:rPr>
            <w:rStyle w:val="882"/>
            <w:rFonts w:ascii="Times New Roman" w:hAnsi="Times New Roman" w:cs="Times New Roman" w:eastAsia="Times New Roman"/>
            <w:i w:val="false"/>
            <w:iCs/>
            <w:color w:val="000000" w:themeColor="text1"/>
            <w:sz w:val="28"/>
            <w:szCs w:val="28"/>
            <w:highlight w:val="white"/>
            <w:u w:val="none"/>
          </w:rPr>
          <w:t xml:space="preserve">частиною другою</w:t>
        </w:r>
      </w:hyperlink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статті 23 Закону України "Про основи національного спротиву"). Не може бути також обмежено доступ до інформації про наявність у фізичних осіб податкового боргу. Не підлягає обмеженню також доступ до інформації про стан і результати перевірок та службових 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розслідувань фактів порушень, допущених у сферах діяльності, зазначених у цій частині. </w:t>
      </w:r>
      <w:r>
        <w:rPr>
          <w:i w:val="false"/>
          <w:color w:val="000000" w:themeColor="text1"/>
          <w:sz w:val="28"/>
          <w:u w:val="none"/>
        </w:rPr>
      </w:r>
      <w:r/>
    </w:p>
    <w:p>
      <w:pPr>
        <w:pStyle w:val="705"/>
        <w:ind w:firstLine="750"/>
        <w:jc w:val="both"/>
        <w:spacing w:lineRule="auto" w:line="240" w:after="0" w:afterAutospacing="0"/>
        <w:rPr>
          <w:bCs/>
          <w:i w:val="false"/>
          <w:color w:val="000000"/>
          <w:sz w:val="28"/>
          <w:u w:val="none"/>
        </w:rPr>
      </w:pPr>
      <w:r>
        <w:rPr>
          <w:rFonts w:ascii="Times New Roman" w:hAnsi="Times New Roman" w:cs="Times New Roman"/>
          <w:i w:val="false"/>
          <w:iCs/>
          <w:color w:val="000000" w:themeColor="text1"/>
          <w:sz w:val="28"/>
          <w:szCs w:val="28"/>
          <w:u w:val="none"/>
        </w:rPr>
      </w:r>
      <w:bookmarkStart w:id="0" w:name="undefined"/>
      <w:r>
        <w:rPr>
          <w:rFonts w:ascii="Times New Roman" w:hAnsi="Times New Roman" w:cs="Times New Roman"/>
          <w:i w:val="false"/>
          <w:iCs/>
          <w:color w:val="000000" w:themeColor="text1"/>
          <w:sz w:val="28"/>
          <w:szCs w:val="28"/>
          <w:u w:val="none"/>
        </w:rPr>
      </w:r>
      <w:bookmarkEnd w:id="0"/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Не належать до інформації з обмеженим доступом відомості, зазначені у декларації особи,</w:t>
      </w:r>
      <w:r>
        <w:rPr>
          <w:rFonts w:ascii="Times New Roman" w:hAnsi="Times New Roman" w:cs="Times New Roman"/>
          <w:i w:val="false"/>
          <w:iCs/>
          <w:color w:val="000000" w:themeColor="text1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i w:val="false"/>
          <w:iCs/>
          <w:color w:val="000000" w:themeColor="text1"/>
          <w:sz w:val="28"/>
          <w:szCs w:val="28"/>
          <w:highlight w:val="white"/>
          <w:u w:val="none"/>
        </w:rPr>
        <w:t xml:space="preserve">уповноваженої на виконання функцій держави або місцевого самоврядування, 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  <w:highlight w:val="white"/>
          <w:u w:val="none"/>
        </w:rPr>
        <w:t xml:space="preserve">поданій відповідно до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  <w:highlight w:val="none"/>
          <w:u w:val="none"/>
        </w:rPr>
        <w:t xml:space="preserve"> </w:t>
      </w:r>
      <w:hyperlink r:id="rId17" w:tooltip="https://zakon.rada.gov.ua/laws/show/1700-18" w:history="1">
        <w:r>
          <w:rPr>
            <w:rStyle w:val="882"/>
            <w:rFonts w:ascii="Times New Roman" w:hAnsi="Times New Roman" w:cs="Times New Roman" w:eastAsia="Times New Roman"/>
            <w:i w:val="false"/>
            <w:color w:val="000000" w:themeColor="text1"/>
            <w:sz w:val="28"/>
            <w:highlight w:val="white"/>
            <w:u w:val="none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  <w:highlight w:val="none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8"/>
          <w:highlight w:val="white"/>
          <w:u w:val="none"/>
        </w:rPr>
        <w:t xml:space="preserve">"Про запобігання корупції", крім випадків, визначених зазначеним Законом.</w:t>
      </w:r>
      <w:r>
        <w:rPr>
          <w:i w:val="false"/>
          <w:color w:val="000000" w:themeColor="text1"/>
          <w:sz w:val="28"/>
          <w:u w:val="none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Обмеженню доступу підлягає інформація, а не документ. Якщо документ містить інформацію з обмеженим доступом, для ознайомлення надається інформація, доступ до якої необмежений.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Конфіденційна інформація - інформація, доступ до якої обмежено фізичною або юридичною особою, крім суб'єктів владних повноважень, та яка може поширюватися у визначеному ними порядку за їхнім бажанням відповідно до передбачених ними умов.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15.6. Менська міська рада може поширювати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конфіденційн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якою вона володіє,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за згодою осіб, які обмежили доступ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нформації, а за відсутності такої згоди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в інтересах національної безпеки, економічного добробуту та прав людини.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15.7. Менська міська рада, яка володіє інформацією про особу, зобов'язана: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надавати її безперешкодно і безкоштовно на вимогу осіб, яких вона стосується, крім випадків, передбачених законом;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використовувати її лише з метою та у спосіб, визначений законом;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вживати заходів щодо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неможливлення несанкціонованого доступу до неї інших осіб;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виправляти неточну та застарілу інформацію про особу самостійно або на вимогу осіб, яких вона стосується.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15.8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Таємна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інформація, доступ до якої обмежується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15.2 цього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розголошення якої може завдати шкоди особі, суспільству і державі. Таємною визнається інформація, яка містить державну, професійну, банківську таємницю, таємницю слідства та іншу передбачену законом таємницю.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15.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9.</w:t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службової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внутрівідомч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кореспонденці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доповідні записки, рекомендації, якщо вони пов'язані з розробкою напряму діяльності або здійсненням контрольних, наглядових функцій Менської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процесом прийняття рішень і передують публічному обговоренню та/або прийняттю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</w:rPr>
      </w:r>
      <w:bookmarkStart w:id="21" w:name="2__Документам__що_містять_інформацію__як"/>
      <w:r>
        <w:rPr>
          <w:rFonts w:ascii="Times New Roman" w:hAnsi="Times New Roman" w:cs="Times New Roman"/>
        </w:rPr>
      </w:r>
      <w:bookmarkEnd w:id="21"/>
      <w:r>
        <w:rPr>
          <w:rFonts w:ascii="Times New Roman" w:hAnsi="Times New Roman" w:cs="Times New Roman"/>
          <w:sz w:val="28"/>
          <w:szCs w:val="28"/>
          <w:lang w:val="uk-UA"/>
        </w:rPr>
        <w:t xml:space="preserve">15.1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Документам, що містять інформацію, яка становить службову інформацію, присвоюється гриф "для службового користування". Доступ до таких документів надається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15.2 цього Порядку.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ind w:firstLine="750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Перелік відомостей, що становлять службову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обмеженим у доступі.</w:t>
      </w:r>
      <w:r>
        <w:rPr>
          <w:rFonts w:ascii="Times New Roman" w:hAnsi="Times New Roman" w:cs="Times New Roman"/>
          <w:sz w:val="28"/>
          <w:szCs w:val="28"/>
        </w:rPr>
        <w:t xml:space="preserve">”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50"/>
        <w:jc w:val="both"/>
        <w:spacing w:lineRule="auto" w:line="24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ind w:firstLine="75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1.3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Доповнити  п. 6 Порядоку абзацем 8 наступного змісту: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before="0"/>
        <w:tabs>
          <w:tab w:val="left" w:pos="5669" w:leader="none"/>
        </w:tabs>
        <w:rPr>
          <w:b w:val="false"/>
          <w:i w:val="fals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u w:val="none"/>
        </w:rPr>
        <w:t xml:space="preserve">“Порядок оскарження рішень розпорядника інформації чи бездіяльності </w:t>
      </w:r>
      <w:r>
        <w:rPr>
          <w:b w:val="false"/>
          <w:i w:val="false"/>
          <w:u w:val="none"/>
        </w:rPr>
      </w:r>
      <w:r/>
    </w:p>
    <w:p>
      <w:pPr>
        <w:ind w:left="0" w:right="0" w:firstLine="0"/>
        <w:jc w:val="center"/>
        <w:spacing w:after="0" w:before="0"/>
        <w:tabs>
          <w:tab w:val="left" w:pos="566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lineRule="atLeast" w:line="253" w:after="20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7"/>
          <w:sz w:val="28"/>
        </w:rPr>
        <w:t xml:space="preserve">Відповідно до статті 144 Конституції України органи місцевого самоврядування в межах повноважень, визначених законом, приймають рішення, які є обов’язковими до виконання на відповідній території.</w:t>
      </w:r>
      <w:r/>
    </w:p>
    <w:p>
      <w:pPr>
        <w:ind w:left="0" w:right="0" w:firstLine="0"/>
        <w:jc w:val="both"/>
        <w:spacing w:lineRule="atLeast" w:line="253" w:after="20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7"/>
          <w:sz w:val="28"/>
        </w:rPr>
        <w:t xml:space="preserve">Згідно статті 59 Закону України «Про місцеве самоврядування в Україні» рада в межах своїх повноважень приймає нормативні та інші акти у формі рішень.</w:t>
      </w:r>
      <w:r/>
    </w:p>
    <w:p>
      <w:pPr>
        <w:ind w:left="0" w:right="0" w:firstLine="0"/>
        <w:jc w:val="both"/>
        <w:spacing w:lineRule="atLeast" w:line="253" w:after="20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7"/>
          <w:sz w:val="28"/>
        </w:rPr>
        <w:t xml:space="preserve">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порядку.</w:t>
      </w:r>
      <w:r/>
    </w:p>
    <w:p>
      <w:pPr>
        <w:ind w:left="0" w:right="0" w:firstLine="0"/>
        <w:jc w:val="both"/>
        <w:spacing w:lineRule="atLeast" w:line="253" w:after="20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7"/>
          <w:sz w:val="28"/>
        </w:rPr>
        <w:t xml:space="preserve">Рішення органу місцевого самоврядування можуть бути оскаржені до суду в порядку адміністративного судочинства.</w:t>
      </w:r>
      <w:r/>
    </w:p>
    <w:p>
      <w:pPr>
        <w:ind w:left="0" w:right="0" w:firstLine="0"/>
        <w:jc w:val="both"/>
        <w:spacing w:lineRule="atLeast" w:line="253" w:after="20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7"/>
          <w:sz w:val="28"/>
        </w:rPr>
        <w:t xml:space="preserve">Юрисдикція адміністративних судів поширюється на публічно-правові спори фізичних чи юридичних осіб із суб’єктом владних повноважень щодо оскарження його рішень (нормативно-правових актів чи правових актів індивідуальної дії), дій чи бездіяльності.</w:t>
      </w:r>
      <w:r/>
    </w:p>
    <w:p>
      <w:pPr>
        <w:ind w:left="0" w:right="0" w:firstLine="0"/>
        <w:jc w:val="both"/>
        <w:spacing w:lineRule="atLeast" w:line="253" w:after="20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7"/>
          <w:sz w:val="28"/>
        </w:rPr>
        <w:t xml:space="preserve">Суд може визнати нормативно-правовий акт незаконним чи таким, що не відповідає правовому акту вищої юридичної сили, повністю або в окремій його частині.</w:t>
      </w:r>
      <w:r/>
    </w:p>
    <w:p>
      <w:pPr>
        <w:ind w:left="0" w:right="0" w:firstLine="0"/>
        <w:jc w:val="center"/>
        <w:spacing w:lineRule="atLeast" w:line="253" w:after="200" w:before="0"/>
        <w:shd w:val="clear" w:color="FFFFFF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pacing w:val="7"/>
          <w:sz w:val="28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Оскарження рішень, дій чи бездіяльності міської ради відповідно до Закону України «Про доступ до публічної інформації»</w:t>
      </w:r>
      <w:r>
        <w:rPr>
          <w:b w:val="false"/>
        </w:rPr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Рішення, дії чи бездіяльність міської ради можуть бути оскаржені до голови облдержадміністрації, Кабінету Міністрів України або суду.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Запитувач має право оскаржити: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відмову в задоволенні запиту на інформацію;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відстрочку задоволення запиту на інформацію;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ненадання відповіді на запит на інформацію;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надання недостовірної або неповної інформації;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несвоєчасне надання інформації;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невиконання розпорядниками обов`язку оприлюднювати інформацію відповідно до статті 15 Закону України «Про доступ до публічної інформації»;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інші рішення, дії чи бездіяльність облдержадміністрації, що порушили законні права та інтереси запитувача.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Оскарження рішень, дій чи бездіяльності облдержадміністрації або її посадових осіб до суду здійснюється відповідно до Кодексу адміністративного судочинства України</w:t>
      </w:r>
      <w:hyperlink r:id="rId18" w:tooltip="http://zakon1.rada.gov.ua/cgi-bin/laws/main.cgi?nreg=2747-15&amp;p=1310388827475393" w:history="1">
        <w:r>
          <w:rPr>
            <w:rStyle w:val="882"/>
            <w:rFonts w:ascii="Times New Roman" w:hAnsi="Times New Roman" w:cs="Times New Roman" w:eastAsia="Times New Roman"/>
            <w:color w:val="0563C1"/>
            <w:sz w:val="28"/>
            <w:u w:val="single"/>
          </w:rPr>
          <w:t xml:space="preserve"> 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Відповідальність за порушення законодавства про доступ до публічної інформації несуть особи, винні у вчиненні таких порушень: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ненадання відповіді на запит;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ненадання інформації на запит;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безпідставна відмова у задоволенні запиту на інформацію;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неоприлюднення інформації відповідно до статті 15 цього Закону України «Про доступ до публічної інформації);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надання або оприлюднення недостовірної, неточної або неповної інформації;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несвоєчасне надання інформації;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необґрунтоване віднесення інформації до інформації з обмеженим доступом;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нездійснення реєстрації документів;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навмисне приховування або знищення інформації чи документів.</w:t>
      </w:r>
      <w:r/>
    </w:p>
    <w:p>
      <w:pPr>
        <w:ind w:left="0" w:right="0" w:firstLine="0"/>
        <w:jc w:val="both"/>
        <w:spacing w:lineRule="atLeast" w:line="253" w:after="1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Особи, на думку яких їхні права та законні інтереси порушені облдержадміністрацією або її посадовими особами, мають право на відшкодування матеріальної та моральної шкоди в порядку, визначеному законом.”</w:t>
      </w:r>
      <w:r/>
    </w:p>
    <w:p>
      <w:pPr>
        <w:ind w:firstLine="750"/>
        <w:jc w:val="both"/>
        <w:spacing w:lineRule="auto" w:line="24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 Контроль за виконанням розпорядження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покласти на секретаря  ради Стальниченка Ю.В.</w:t>
      </w:r>
      <w:r>
        <w:rPr>
          <w:rFonts w:ascii="Times New Roman" w:hAnsi="Times New Roman" w:cs="Times New Roman"/>
          <w:sz w:val="28"/>
          <w:szCs w:val="28"/>
        </w:rPr>
        <w:t xml:space="preserve"> та керуючого справами виконавчого комітету Стародуб Л.О.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Геннадій ПРИМАКОВ</w:t>
      </w:r>
      <w:r>
        <w:rPr>
          <w:rFonts w:ascii="Times New Roman" w:hAnsi="Times New Roman" w:cs="Times New Roman"/>
          <w:color w:val="auto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 Mono">
    <w:panose1 w:val="020B0609030804020204"/>
  </w:font>
  <w:font w:name="Mangal">
    <w:panose1 w:val="02020603050405020304"/>
  </w:font>
  <w:font w:name="Courier New">
    <w:panose1 w:val="02070309020205020404"/>
  </w:font>
  <w:font w:name="DejaVu Sans">
    <w:panose1 w:val="020B060303080402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fldSimple w:instr="PAGE \* MERGEFORMAT">
      <w:r>
        <w:t xml:space="preserve">1</w:t>
      </w:r>
    </w:fldSimple>
    <w:r/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>
      <w:t xml:space="preserve">  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  <w:tabs>
          <w:tab w:val="left" w:pos="9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left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left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left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left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left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left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left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left" w:pos="6687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Caption Char"/>
    <w:basedOn w:val="897"/>
    <w:link w:val="754"/>
    <w:uiPriority w:val="99"/>
  </w:style>
  <w:style w:type="paragraph" w:styleId="701">
    <w:name w:val="endnote text"/>
    <w:basedOn w:val="705"/>
    <w:link w:val="702"/>
    <w:uiPriority w:val="99"/>
    <w:semiHidden/>
    <w:unhideWhenUsed/>
    <w:rPr>
      <w:sz w:val="20"/>
    </w:rPr>
    <w:pPr>
      <w:spacing w:lineRule="auto" w:line="240" w:after="0"/>
    </w:pPr>
  </w:style>
  <w:style w:type="character" w:styleId="702">
    <w:name w:val="Endnote Text Char"/>
    <w:link w:val="701"/>
    <w:uiPriority w:val="99"/>
    <w:rPr>
      <w:sz w:val="20"/>
    </w:rPr>
  </w:style>
  <w:style w:type="character" w:styleId="703">
    <w:name w:val="endnote reference"/>
    <w:basedOn w:val="715"/>
    <w:uiPriority w:val="99"/>
    <w:semiHidden/>
    <w:unhideWhenUsed/>
    <w:rPr>
      <w:vertAlign w:val="superscript"/>
    </w:rPr>
  </w:style>
  <w:style w:type="paragraph" w:styleId="704">
    <w:name w:val="table of figures"/>
    <w:basedOn w:val="705"/>
    <w:next w:val="705"/>
    <w:uiPriority w:val="99"/>
    <w:unhideWhenUsed/>
    <w:pPr>
      <w:spacing w:after="0" w:afterAutospacing="0"/>
    </w:pPr>
  </w:style>
  <w:style w:type="paragraph" w:styleId="705" w:default="1">
    <w:name w:val="Normal"/>
    <w:qFormat/>
    <w:pPr>
      <w:spacing w:lineRule="auto" w:line="276" w:after="200"/>
    </w:pPr>
  </w:style>
  <w:style w:type="paragraph" w:styleId="706">
    <w:name w:val="Heading 1"/>
    <w:basedOn w:val="705"/>
    <w:next w:val="705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7">
    <w:name w:val="Heading 2"/>
    <w:basedOn w:val="705"/>
    <w:next w:val="705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8">
    <w:name w:val="Heading 3"/>
    <w:basedOn w:val="705"/>
    <w:next w:val="705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9">
    <w:name w:val="Heading 4"/>
    <w:basedOn w:val="705"/>
    <w:next w:val="705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0">
    <w:name w:val="Heading 5"/>
    <w:basedOn w:val="705"/>
    <w:next w:val="705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1">
    <w:name w:val="Heading 6"/>
    <w:basedOn w:val="705"/>
    <w:next w:val="705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2">
    <w:name w:val="Heading 7"/>
    <w:basedOn w:val="705"/>
    <w:next w:val="705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3">
    <w:name w:val="Heading 8"/>
    <w:basedOn w:val="705"/>
    <w:next w:val="705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4">
    <w:name w:val="Heading 9"/>
    <w:basedOn w:val="705"/>
    <w:next w:val="705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5" w:default="1">
    <w:name w:val="Default Paragraph Font"/>
    <w:uiPriority w:val="1"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Heading 1 Char"/>
    <w:basedOn w:val="715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715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15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15"/>
    <w:uiPriority w:val="10"/>
    <w:rPr>
      <w:sz w:val="48"/>
      <w:szCs w:val="48"/>
    </w:rPr>
  </w:style>
  <w:style w:type="character" w:styleId="728" w:customStyle="1">
    <w:name w:val="Subtitle Char"/>
    <w:basedOn w:val="715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715"/>
    <w:uiPriority w:val="99"/>
  </w:style>
  <w:style w:type="character" w:styleId="732" w:customStyle="1">
    <w:name w:val="Footer Char"/>
    <w:basedOn w:val="715"/>
    <w:uiPriority w:val="99"/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Заголовок 1 Знак"/>
    <w:basedOn w:val="715"/>
    <w:link w:val="706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15"/>
    <w:link w:val="707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15"/>
    <w:link w:val="708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15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15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15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15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15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15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No Spacing"/>
    <w:qFormat/>
    <w:uiPriority w:val="1"/>
    <w:pPr>
      <w:spacing w:lineRule="auto" w:line="240" w:after="0"/>
    </w:pPr>
  </w:style>
  <w:style w:type="paragraph" w:styleId="744">
    <w:name w:val="Title"/>
    <w:basedOn w:val="705"/>
    <w:next w:val="705"/>
    <w:link w:val="74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5" w:customStyle="1">
    <w:name w:val="Название Знак"/>
    <w:basedOn w:val="715"/>
    <w:link w:val="744"/>
    <w:uiPriority w:val="10"/>
    <w:rPr>
      <w:sz w:val="48"/>
      <w:szCs w:val="48"/>
    </w:rPr>
  </w:style>
  <w:style w:type="paragraph" w:styleId="746">
    <w:name w:val="Subtitle"/>
    <w:basedOn w:val="705"/>
    <w:next w:val="705"/>
    <w:link w:val="747"/>
    <w:qFormat/>
    <w:rPr>
      <w:sz w:val="24"/>
      <w:szCs w:val="24"/>
    </w:rPr>
    <w:pPr>
      <w:spacing w:before="200"/>
    </w:pPr>
  </w:style>
  <w:style w:type="character" w:styleId="747" w:customStyle="1">
    <w:name w:val="Подзаголовок Знак"/>
    <w:basedOn w:val="715"/>
    <w:link w:val="746"/>
    <w:rPr>
      <w:sz w:val="24"/>
      <w:szCs w:val="24"/>
    </w:rPr>
  </w:style>
  <w:style w:type="paragraph" w:styleId="748">
    <w:name w:val="Quote"/>
    <w:basedOn w:val="705"/>
    <w:next w:val="705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05"/>
    <w:next w:val="705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705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715"/>
    <w:link w:val="752"/>
    <w:uiPriority w:val="99"/>
  </w:style>
  <w:style w:type="paragraph" w:styleId="754">
    <w:name w:val="Footer"/>
    <w:basedOn w:val="705"/>
    <w:link w:val="7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Нижний колонтитул Знак"/>
    <w:basedOn w:val="715"/>
    <w:link w:val="754"/>
    <w:uiPriority w:val="99"/>
  </w:style>
  <w:style w:type="table" w:styleId="756">
    <w:name w:val="Table Grid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6" w:customStyle="1">
    <w:name w:val="Grid Table 4 - Accent 2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7" w:customStyle="1">
    <w:name w:val="Grid Table 4 - Accent 3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8" w:customStyle="1">
    <w:name w:val="Grid Table 4 - Accent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9" w:customStyle="1">
    <w:name w:val="Grid Table 4 - Accent 5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0" w:customStyle="1">
    <w:name w:val="Grid Table 4 - Accent 6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1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8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0" w:customStyle="1">
    <w:name w:val="Grid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1" w:customStyle="1">
    <w:name w:val="Grid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2" w:customStyle="1">
    <w:name w:val="Grid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3" w:customStyle="1">
    <w:name w:val="Grid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4" w:customStyle="1">
    <w:name w:val="Grid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5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1" w:customStyle="1">
    <w:name w:val="List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2" w:customStyle="1">
    <w:name w:val="List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3" w:customStyle="1">
    <w:name w:val="List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4" w:customStyle="1">
    <w:name w:val="List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5" w:customStyle="1">
    <w:name w:val="List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6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9" w:customStyle="1">
    <w:name w:val="List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0" w:customStyle="1">
    <w:name w:val="List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1" w:customStyle="1">
    <w:name w:val="List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2" w:customStyle="1">
    <w:name w:val="List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3" w:customStyle="1">
    <w:name w:val="List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4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Lined - Accent 1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3" w:customStyle="1">
    <w:name w:val="Lined - Accent 2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4" w:customStyle="1">
    <w:name w:val="Lined - Accent 3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5" w:customStyle="1">
    <w:name w:val="Lined - Accent 4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6" w:customStyle="1">
    <w:name w:val="Lined - Accent 5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7" w:customStyle="1">
    <w:name w:val="Lined - Accent 6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8" w:customStyle="1">
    <w:name w:val="Bordered &amp; Lined - Accent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Bordered &amp; Lined - Accent 1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Bordered &amp; Lined - Accent 2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Bordered &amp; Lined - Accent 3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Bordered &amp; Lined - Accent 4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Bordered &amp; Lined - Accent 5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Bordered &amp; Lined - Accent 6"/>
    <w:basedOn w:val="7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7" w:customStyle="1">
    <w:name w:val="Bordered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8" w:customStyle="1">
    <w:name w:val="Bordered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9" w:customStyle="1">
    <w:name w:val="Bordered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0" w:customStyle="1">
    <w:name w:val="Bordered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1" w:customStyle="1">
    <w:name w:val="Bordered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563C1" w:themeColor="hyperlink"/>
      <w:u w:val="single"/>
    </w:rPr>
  </w:style>
  <w:style w:type="paragraph" w:styleId="883">
    <w:name w:val="footnote text"/>
    <w:basedOn w:val="705"/>
    <w:link w:val="884"/>
    <w:uiPriority w:val="99"/>
    <w:semiHidden/>
    <w:unhideWhenUsed/>
    <w:rPr>
      <w:sz w:val="18"/>
    </w:rPr>
    <w:pPr>
      <w:spacing w:lineRule="auto" w:line="240"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basedOn w:val="715"/>
    <w:uiPriority w:val="99"/>
    <w:unhideWhenUsed/>
    <w:rPr>
      <w:vertAlign w:val="superscript"/>
    </w:rPr>
  </w:style>
  <w:style w:type="paragraph" w:styleId="886">
    <w:name w:val="toc 1"/>
    <w:basedOn w:val="705"/>
    <w:next w:val="705"/>
    <w:uiPriority w:val="39"/>
    <w:unhideWhenUsed/>
    <w:pPr>
      <w:spacing w:after="57"/>
    </w:pPr>
  </w:style>
  <w:style w:type="paragraph" w:styleId="887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88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89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90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1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2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93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894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List Paragraph"/>
    <w:basedOn w:val="705"/>
    <w:qFormat/>
    <w:uiPriority w:val="34"/>
    <w:pPr>
      <w:contextualSpacing w:val="true"/>
      <w:ind w:left="720"/>
    </w:pPr>
  </w:style>
  <w:style w:type="paragraph" w:styleId="897">
    <w:name w:val="Caption"/>
    <w:basedOn w:val="705"/>
    <w:next w:val="70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8">
    <w:name w:val="Balloon Text"/>
    <w:basedOn w:val="705"/>
    <w:link w:val="89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9" w:customStyle="1">
    <w:name w:val="Текст выноски Знак"/>
    <w:basedOn w:val="715"/>
    <w:link w:val="898"/>
    <w:uiPriority w:val="99"/>
    <w:semiHidden/>
    <w:rPr>
      <w:rFonts w:ascii="Segoe UI" w:hAnsi="Segoe UI" w:cs="Segoe UI"/>
      <w:sz w:val="18"/>
      <w:szCs w:val="18"/>
    </w:rPr>
  </w:style>
  <w:style w:type="paragraph" w:styleId="900">
    <w:name w:val="HTML Preformatted"/>
    <w:basedOn w:val="705"/>
    <w:link w:val="901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1" w:customStyle="1">
    <w:name w:val="Стандартный HTML Знак"/>
    <w:basedOn w:val="715"/>
    <w:link w:val="900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2">
    <w:name w:val="Body Text Indent 2"/>
    <w:basedOn w:val="705"/>
    <w:link w:val="903"/>
    <w:rPr>
      <w:rFonts w:ascii="Times New Roman" w:hAnsi="Times New Roman" w:cs="Times New Roman" w:eastAsia="Times New Roman"/>
      <w:sz w:val="28"/>
      <w:szCs w:val="20"/>
      <w:lang w:val="ru-RU" w:eastAsia="ru-RU"/>
    </w:rPr>
    <w:pPr>
      <w:ind w:left="720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3" w:customStyle="1">
    <w:name w:val="Основной текст с отступом 2 Знак"/>
    <w:basedOn w:val="715"/>
    <w:link w:val="902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paragraph" w:styleId="904">
    <w:name w:val="Body Text"/>
    <w:basedOn w:val="705"/>
    <w:link w:val="905"/>
    <w:rPr>
      <w:rFonts w:ascii="Times New Roman" w:hAnsi="Times New Roman" w:cs="Times New Roman" w:eastAsia="Times New Roman"/>
      <w:sz w:val="28"/>
      <w:szCs w:val="20"/>
      <w:lang w:val="ru-RU" w:eastAsia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5" w:customStyle="1">
    <w:name w:val="Основной текст Знак"/>
    <w:basedOn w:val="715"/>
    <w:link w:val="904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paragraph" w:styleId="906">
    <w:name w:val="List"/>
    <w:basedOn w:val="705"/>
    <w:rPr>
      <w:rFonts w:ascii="Arial" w:hAnsi="Arial" w:cs="Arial" w:eastAsia="Times New Roman"/>
      <w:sz w:val="20"/>
      <w:szCs w:val="20"/>
      <w:lang w:eastAsia="ru-RU"/>
    </w:rPr>
    <w:pPr>
      <w:ind w:left="283" w:hanging="283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7">
    <w:name w:val="List 2"/>
    <w:basedOn w:val="705"/>
    <w:rPr>
      <w:rFonts w:ascii="Arial" w:hAnsi="Arial" w:cs="Arial" w:eastAsia="Times New Roman"/>
      <w:sz w:val="20"/>
      <w:szCs w:val="20"/>
      <w:lang w:eastAsia="ru-RU"/>
    </w:rPr>
    <w:pPr>
      <w:ind w:left="566" w:hanging="283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8">
    <w:name w:val="Обычный"/>
    <w:next w:val="723"/>
    <w:link w:val="723"/>
    <w:rPr>
      <w:rFonts w:ascii="Calibri" w:hAnsi="Calibri" w:cs="Times New Roman" w:eastAsia="Calibri"/>
      <w:color w:val="auto"/>
      <w:spacing w:val="0"/>
      <w:position w:val="0"/>
      <w:sz w:val="20"/>
      <w:szCs w:val="22"/>
      <w:u w:val="none"/>
      <w:vertAlign w:val="baselin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 w:customStyle="1">
    <w:name w:val="Обычный (веб)"/>
    <w:basedOn w:val="732"/>
    <w:next w:val="741"/>
    <w:link w:val="732"/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0" w:customStyle="1">
    <w:name w:val="Текст у вказаному форматі"/>
    <w:basedOn w:val="732"/>
    <w:next w:val="739"/>
    <w:link w:val="732"/>
    <w:rPr>
      <w:rFonts w:ascii="DejaVu Sans Mono" w:hAnsi="DejaVu Sans Mono" w:cs="DejaVu Sans Mono" w:eastAsia="DejaVu Sans"/>
      <w:color w:val="auto"/>
      <w:spacing w:val="0"/>
      <w:position w:val="0"/>
      <w:sz w:val="20"/>
      <w:szCs w:val="20"/>
      <w:highlight w:val="none"/>
      <w:u w:val="none"/>
      <w:vertAlign w:val="baseline"/>
      <w:lang w:val="uk-UA" w:bidi="hi-IN" w:eastAsia="hi-I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2456-17#n685" TargetMode="External"/><Relationship Id="rId15" Type="http://schemas.openxmlformats.org/officeDocument/2006/relationships/hyperlink" Target="https://zakon.rada.gov.ua/laws/show/3855-12" TargetMode="External"/><Relationship Id="rId16" Type="http://schemas.openxmlformats.org/officeDocument/2006/relationships/hyperlink" Target="https://zakon.rada.gov.ua/laws/show/1702-20#n294" TargetMode="External"/><Relationship Id="rId17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://zakon1.rada.gov.ua/cgi-bin/laws/main.cgi?nreg=2747-15&amp;p=131038882747539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20</cp:revision>
  <dcterms:created xsi:type="dcterms:W3CDTF">2021-05-20T08:55:00Z</dcterms:created>
  <dcterms:modified xsi:type="dcterms:W3CDTF">2022-11-18T08:17:42Z</dcterms:modified>
</cp:coreProperties>
</file>