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954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/>
      <w:bookmarkStart w:id="0" w:name="_Hlk71637233"/>
      <w:r>
        <w:rPr>
          <w:rFonts w:ascii="Times New Roman" w:hAnsi="Times New Roman" w:cs="Times New Roman" w:eastAsia="Times New Roman"/>
          <w:color w:val="000000" w:themeColor="text1"/>
          <w:sz w:val="20"/>
        </w:rPr>
        <w:t xml:space="preserve">Додаток 2 </w:t>
      </w:r>
      <w:r>
        <w:rPr>
          <w:rFonts w:ascii="Times New Roman" w:hAnsi="Times New Roman" w:cs="Times New Roman" w:eastAsia="Times New Roman"/>
          <w:color w:val="000000" w:themeColor="text1"/>
          <w:sz w:val="20"/>
        </w:rPr>
        <w:t xml:space="preserve">до рішення сесії Менської міської ради 8 скликання від 31.05.2020 №</w:t>
      </w:r>
      <w:r>
        <w:rPr>
          <w:rFonts w:ascii="Times New Roman" w:hAnsi="Times New Roman" w:cs="Times New Roman" w:eastAsia="Times New Roman"/>
          <w:color w:val="000000" w:themeColor="text1"/>
          <w:sz w:val="20"/>
        </w:rPr>
        <w:t xml:space="preserve">245 </w:t>
      </w:r>
      <w:r>
        <w:rPr>
          <w:rFonts w:ascii="Times New Roman" w:hAnsi="Times New Roman" w:cs="Times New Roman" w:eastAsia="Times New Roman"/>
          <w:color w:val="000000" w:themeColor="text1"/>
          <w:sz w:val="20"/>
        </w:rPr>
        <w:t xml:space="preserve">«</w:t>
      </w:r>
      <w:r>
        <w:rPr>
          <w:rFonts w:ascii="Times New Roman" w:hAnsi="Times New Roman" w:cs="Times New Roman" w:eastAsia="Times New Roman"/>
          <w:color w:val="000000" w:themeColor="text1"/>
          <w:sz w:val="20"/>
        </w:rPr>
        <w:t xml:space="preserve">Про внесення змін до Переліку адміністративних послуг, які надаються через відділ «Центр надання адміністра</w:t>
      </w:r>
      <w:r>
        <w:rPr>
          <w:rFonts w:ascii="Times New Roman" w:hAnsi="Times New Roman" w:cs="Times New Roman" w:eastAsia="Times New Roman"/>
          <w:color w:val="000000" w:themeColor="text1"/>
          <w:sz w:val="20"/>
        </w:rPr>
        <w:t xml:space="preserve">тивних послуг», затвердження Переліку адміністративних послуг, які надаються через ВРМ відділу «Центр надання адміністративних послуг» та затвердження інформаційних і технологічних карток, які надаються через відділ «Центр надання адміністративних послуг</w:t>
      </w:r>
      <w:r>
        <w:rPr>
          <w:rFonts w:ascii="Times New Roman" w:hAnsi="Times New Roman" w:cs="Times New Roman" w:eastAsia="Times New Roman"/>
          <w:color w:val="000000" w:themeColor="text1"/>
          <w:sz w:val="20"/>
        </w:rPr>
        <w:t xml:space="preserve">»</w:t>
      </w:r>
      <w:r>
        <w:rPr>
          <w:rFonts w:ascii="Times New Roman" w:hAnsi="Times New Roman" w:cs="Times New Roman" w:eastAsia="Times New Roman"/>
          <w:color w:val="000000" w:themeColor="text1"/>
          <w:sz w:val="20"/>
        </w:rPr>
        <w:t xml:space="preserve">»</w:t>
      </w:r>
      <w:r/>
      <w:r>
        <w:rPr>
          <w:rFonts w:ascii="Times New Roman" w:hAnsi="Times New Roman" w:cs="Times New Roman" w:eastAsia="Times New Roman"/>
          <w:color w:val="000000" w:themeColor="text1"/>
          <w:sz w:val="20"/>
        </w:rPr>
      </w:r>
      <w:r/>
    </w:p>
    <w:tbl>
      <w:tblPr>
        <w:tblStyle w:val="562"/>
        <w:tblW w:w="9747" w:type="dxa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110"/>
        <w:gridCol w:w="4895"/>
        <w:gridCol w:w="33"/>
      </w:tblGrid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0"/>
                <w:szCs w:val="28"/>
              </w:rPr>
              <w:t xml:space="preserve">№ п/п</w:t>
            </w:r>
            <w:r>
              <w:rPr>
                <w:rFonts w:ascii="Times New Roman" w:hAnsi="Times New Roman" w:cs="Times New Roman" w:eastAsia="Times New Roman"/>
                <w:sz w:val="16"/>
              </w:rPr>
            </w:r>
            <w:r>
              <w:rPr>
                <w:sz w:val="20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0"/>
                <w:szCs w:val="28"/>
              </w:rPr>
              <w:t xml:space="preserve">Перелік адміністративних послуг органів виконавчої влади, які надаються через 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0"/>
                <w:szCs w:val="28"/>
              </w:rPr>
              <w:t xml:space="preserve">ВРМ відділу «Ц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0"/>
                <w:szCs w:val="28"/>
              </w:rPr>
              <w:t xml:space="preserve">ентр надання адміністративних послуг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0"/>
                <w:szCs w:val="28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16"/>
              </w:rPr>
            </w:r>
            <w:r>
              <w:rPr>
                <w:sz w:val="20"/>
              </w:rPr>
            </w:r>
          </w:p>
        </w:tc>
        <w:tc>
          <w:tcPr>
            <w:gridSpan w:val="2"/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0"/>
                <w:szCs w:val="28"/>
              </w:rPr>
              <w:t xml:space="preserve">Правові підстави для надання адміністративної послуги</w:t>
            </w:r>
            <w:r>
              <w:rPr>
                <w:rFonts w:ascii="Times New Roman" w:hAnsi="Times New Roman" w:cs="Times New Roman" w:eastAsia="Times New Roman"/>
                <w:sz w:val="16"/>
              </w:rPr>
            </w:r>
            <w:r>
              <w:rPr>
                <w:sz w:val="20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  <w:t xml:space="preserve">Реєстрація місця проживання особи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Закон України «Про свободу пересування та вільний вибір місця проживання в Україні»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Закон України «Про місцеве самоврядування»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Закон України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Закон України «Про адміністративні послуги»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Закон України «Про порядок виїзду з України і в’їзду в Україну громадян України»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  <w:t xml:space="preserve">Реєстрація місця перебування особи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Закон України «Про свободу пересування та вільний вибір місця проживання в Україні»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Закон України «Про місцеве самоврядування»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Закон України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Закон України «Про адміністративні послуги»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Закон України «Про порядок виїзду з України і в’їзду в Україну громадян України»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  <w:t xml:space="preserve">Реєстрація місця проживання малолітньої дитини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Закон України «Про свободу пересування та вільний вибір місця проживання в Україні»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Закон України «Про місцеве самоврядування»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Закон України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Закон України «Про адміністративні послуги»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Закон України «Про порядок виїзду з України і в’їзду в Україну громадян України»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shd w:val="clear" w:color="auto" w:fill="FFFFFF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  <w:t xml:space="preserve">Видача довідки про реєстрацію місця проживання особи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</w:rPr>
            </w:r>
            <w:hyperlink r:id="rId8" w:history="1">
              <w:r>
                <w:rPr>
                  <w:rStyle w:val="563"/>
                  <w:rFonts w:ascii="Times New Roman" w:hAnsi="Times New Roman" w:cs="Times New Roman" w:eastAsia="Times New Roman"/>
                  <w:color w:val="auto"/>
                  <w:sz w:val="28"/>
                  <w:szCs w:val="28"/>
                  <w:u w:val="none"/>
                </w:rPr>
                <w:t xml:space="preserve">Закон України «Про свободу пересування та вільний вибір місця проживання в Україні</w:t>
              </w:r>
            </w:hyperlink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» (абзац восьмий статті 3);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</w:rPr>
            </w:r>
            <w:hyperlink r:id="rId9" w:history="1">
              <w:r>
                <w:rPr>
                  <w:rStyle w:val="563"/>
                  <w:rFonts w:ascii="Times New Roman" w:hAnsi="Times New Roman" w:cs="Times New Roman" w:eastAsia="Times New Roman"/>
                  <w:color w:val="auto"/>
                  <w:sz w:val="28"/>
                  <w:szCs w:val="28"/>
                  <w:u w:val="none"/>
                </w:rPr>
                <w:t xml:space="preserve">Постанова Кабінету Міністрів України від 02.03.2016 № 207 «Про затвердження Правил реєстрації місця проживання та Порядку передачі органами реєстрації інформації до Єдиного державного демографічного реєстру</w:t>
              </w:r>
            </w:hyperlink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  <w:t xml:space="preserve">Внесення до </w:t>
            </w:r>
            <w: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  <w:t xml:space="preserve">паспорта громадянина України відомостей про зміну нумерації будинків, перейменування вулиць (проспектів, бульварів, площ, провулків, кварталів тощо ), населених пунктів, адміністративно-територіальних одиниць, зміни в адміністративно-територіальному устрої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</w:rPr>
            </w:r>
            <w:hyperlink r:id="rId10" w:history="1">
              <w:r>
                <w:rPr>
                  <w:rStyle w:val="563"/>
                  <w:rFonts w:ascii="Times New Roman" w:hAnsi="Times New Roman" w:cs="Times New Roman" w:eastAsia="Times New Roman"/>
                  <w:color w:val="auto"/>
                  <w:sz w:val="28"/>
                  <w:szCs w:val="28"/>
                  <w:u w:val="none"/>
                </w:rPr>
                <w:t xml:space="preserve">Закон України «Про свободу пересування та вільний вибір місця проживання в Україні</w:t>
              </w:r>
            </w:hyperlink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» (абзац восьмий статті 3);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</w:rPr>
            </w:r>
            <w:hyperlink r:id="rId11" w:history="1">
              <w:r>
                <w:rPr>
                  <w:rStyle w:val="563"/>
                  <w:rFonts w:ascii="Times New Roman" w:hAnsi="Times New Roman" w:cs="Times New Roman" w:eastAsia="Times New Roman"/>
                  <w:color w:val="auto"/>
                  <w:sz w:val="28"/>
                  <w:szCs w:val="28"/>
                  <w:u w:val="none"/>
                </w:rPr>
                <w:t xml:space="preserve">Постанова Кабінету Міністрів України від 02.03.2016 № 207 «Про затвердження Правил реєстрації місця проживання та Порядку передачі органами реєстрації інформації до Єдиного державного демографічного реєстру</w:t>
              </w:r>
            </w:hyperlink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»;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  <w:t xml:space="preserve">Видача будівельного паспорта забудови земельної ділянки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Закон України «Про місцеве самоврядування в Україні» (стаття 31).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Закон України «Про регулювання містобудівної діяльності» (стаття 27).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  <w:t xml:space="preserve">Надання містобудівних умов та обмежень забудови земельної ділянки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Закон України «Про місцеве самоврядування в Україні» (стаття 31).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Закон України «Про регулювання містобудівної діяльності» (стаття 29).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  <w:t xml:space="preserve">Видача ордера на видалення зелених насаджень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Закон України «Про благоустрій населених пунктів» від 06.09.2005 р. № 2807-IV (статті 10, 28)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  <w:t xml:space="preserve">Надання дозволу на порушення об’єктів благоустрою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Закон України «Про благоустрій населених пунктів» від 06.09.2005 р. (стаття 26-1).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  <w:t xml:space="preserve">Отримання погодження щодо можливості розміщення тимчасової споруди  для здійснення підприємницької діяльності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Закон України «Про регулювання містобудівної діяльності» із змінами , ст.28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  <w:t xml:space="preserve">Видача паспорту прив’язки тимчасової споруди для здійснення підприємницької діяльності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Закон України «Про регулювання містобудівної діяльності» із змінами , ст.28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8"/>
              </w:rPr>
              <w:t xml:space="preserve">Прийняття рішення про переведення житлового будинку або житлового приміщення у нежитлові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Житловий кодекс Української РСР (статті 7, 8).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Цивільний кодекс України (статті 319, 320, 383).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Закон України від 29.11.01 р. № 2866-III «Про об’єднання співвласників багатоквартирного будинку» (стаття 26).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color w:val="000000" w:themeColor="text1"/>
                <w:sz w:val="28"/>
                <w:szCs w:val="28"/>
              </w:rPr>
              <w:t xml:space="preserve">Надання дозволу на підключення об’єктів до централізованої системи водопостачання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Закон України «Про місцеве самоврядування в Україні»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color w:val="000000" w:themeColor="text1"/>
                <w:sz w:val="28"/>
                <w:szCs w:val="28"/>
              </w:rPr>
              <w:t xml:space="preserve">Видача (продовження дії) дозволу на розміщення зовнішньої реклами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Закон України «Про рекламу» (стаття 16*).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color w:val="000000" w:themeColor="text1"/>
                <w:sz w:val="28"/>
                <w:szCs w:val="28"/>
              </w:rPr>
              <w:t xml:space="preserve">Присвоєння, зміна та коригування адрес об'єктам будівництва та об’єктам нерухомого майна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Закон України «Про місцеве самоврядування в Україні» (стаття 30).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Закон України «Про регулювання містобудівної діяльності» (стаття 263)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color w:val="000000" w:themeColor="text1"/>
                <w:sz w:val="28"/>
                <w:szCs w:val="28"/>
              </w:rPr>
              <w:t xml:space="preserve">Надання викопіювання з топографічної зйомки (М1:2000) населених пунктів, містобудівної документації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Закони України «Про місцеве самоврядування в Україні»; «Про засади державної регуляторної політики у сфері господарської діяльності»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color w:val="000000" w:themeColor="text1"/>
                <w:sz w:val="28"/>
                <w:szCs w:val="28"/>
              </w:rPr>
              <w:t xml:space="preserve">Видача витягу з </w:t>
            </w:r>
            <w:r>
              <w:rPr>
                <w:rFonts w:ascii="Times New Roman" w:hAnsi="Times New Roman" w:cs="Times New Roman" w:eastAsia="Times New Roman"/>
                <w:iCs/>
                <w:color w:val="000000" w:themeColor="text1"/>
                <w:sz w:val="28"/>
                <w:szCs w:val="28"/>
              </w:rPr>
              <w:t xml:space="preserve">погосподарської</w:t>
            </w:r>
            <w:r>
              <w:rPr>
                <w:rFonts w:ascii="Times New Roman" w:hAnsi="Times New Roman" w:cs="Times New Roman" w:eastAsia="Times New Roman"/>
                <w:iCs/>
                <w:color w:val="000000" w:themeColor="text1"/>
                <w:sz w:val="28"/>
                <w:szCs w:val="28"/>
              </w:rPr>
              <w:t xml:space="preserve"> книги 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Закон України «Про місцеве самоврядування в Україні»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«Інструкція з ведення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погосподарського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 обліку в сільських, селищних, міських радах», затверджена наказом Міністерства юстиції України від 11.04.2016 р. № 56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5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color w:val="000000" w:themeColor="text1"/>
                <w:sz w:val="28"/>
                <w:szCs w:val="28"/>
              </w:rPr>
              <w:t xml:space="preserve">Видача довідки на право фізичної особи на отримання доходу від податкового </w:t>
            </w:r>
            <w:r>
              <w:rPr>
                <w:rFonts w:ascii="Times New Roman" w:hAnsi="Times New Roman" w:cs="Times New Roman" w:eastAsia="Times New Roman"/>
                <w:iCs/>
                <w:color w:val="000000" w:themeColor="text1"/>
                <w:sz w:val="28"/>
                <w:szCs w:val="28"/>
              </w:rPr>
              <w:t xml:space="preserve">агента</w:t>
            </w:r>
            <w:r>
              <w:rPr>
                <w:rFonts w:ascii="Times New Roman" w:hAnsi="Times New Roman" w:cs="Times New Roman" w:eastAsia="Times New Roman"/>
                <w:iCs/>
                <w:color w:val="000000" w:themeColor="text1"/>
                <w:sz w:val="28"/>
                <w:szCs w:val="28"/>
              </w:rPr>
              <w:t xml:space="preserve"> без утримання податку (3 ДФ)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Наказ Міністерства доходів і зборів України №32 від 17.01.2014 року.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color w:val="000000" w:themeColor="text1"/>
                <w:sz w:val="28"/>
                <w:szCs w:val="28"/>
              </w:rPr>
              <w:t xml:space="preserve">Видача довідки  про зареєстрованих у житловому приміщенні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Закон України «Про місцеве самоврядування в Україні»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color w:val="000000" w:themeColor="text1"/>
                <w:sz w:val="28"/>
                <w:szCs w:val="28"/>
              </w:rPr>
              <w:t xml:space="preserve">Видача довідки-характеристики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Закон України «Про місцеве самоврядування в Україні»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color w:val="000000" w:themeColor="text1"/>
                <w:sz w:val="28"/>
                <w:szCs w:val="28"/>
              </w:rPr>
              <w:t xml:space="preserve">Видача довідки про членство в особистому селянському господарстві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Cs/>
                <w:color w:val="000000" w:themeColor="text1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Закон України «Про місцеве самоврядування в Україні»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ст. 11 Закону України "Про особисте селянське господарство".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Наказ Державної служби статистики України від 08.12.10 № 491 "Про затвердження Інструкції з ведення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погосподарського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 обліку в сільських, селищних та міських радах".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Від 24.11.15 №340 «Про затвердження типових форм первинної облікової документації для сільських, селищних та міських рад».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Надання дозволу на розроблення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проєкту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 землеустрою щодо відведення земельної ділянки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Статті 122, 123 134 Земельного Кодексу України, стаття 22 Закону України «Про землеустрій», пункт 34 стаття 26 Закону України «Про місцеве самоврядування в Україні»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Затвердження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проєкту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 землеустрою щодо відведення або зміни цільового призначення земельної ділянки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Статті 20, 123, 186` Земельного Кодексу України, статті 22, 50 Закону України «Про землеустрій»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Надання дозволу на розробку документації  із землеустрою громадянам України з метою безоплатної приватизації земельної ділянки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Статті 12, 116, 118, 119, 120, 121, 122, 123, 186` Земельного кодексу України, статті 22, 50, 55, 56 Закону України «Про землеустрій», пункт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34 стаття 26 Закону України «Про місцеве самоврядування в Україні»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Продаж земельних ділянок комунальної власності іноземним державам та іноземним юридичним особам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Стаття 129 Земельного кодексу України, статті 22, 50, 55, 56 Закон України «Про землеустрій», стаття 13 Закону України «Про оцінку земель»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Надання дозволу на виготовлення документації із землеустрою з метою надання земельної ділянки у постійне користування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Стаття 92, 122, 123, 186. Земельного кодексу України, статті 22, 50, 55, 56 Закон України «Про землеустрій»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Надання дозволу на виготовлення технічної документації із землеустрою з метою передачі земельної ділянки в оренду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Статті 93, 122, 123, 124, 186 Земельний кодекс України, статті 22, 55, 56 Закону України «Про землеустрій», статті 32, 33 Закону України «Про оренду землі.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Надання дозволу на виготовлення документації із землеустрою з метою передачі земельної ділянки (невитребуваної земельної частки( паю)) в оренду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Статті 93, 122, 123, 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24, 186 Земельний кодекс України, статті 22, 55, 56 Закону України «Про землеустрій», ст. 13 Закону України «Про порядок виділення в натурі (на місцевості) земельних ділянок власникам земельних часток (паїв)» статті 32, 33 Закону України «Про оренду землі.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Затвердження технічної документації із землеустрою щодо встановлення (відновлення) меж земельної ділянки в натурі (на місцевості) по передачі у приватну власність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Законом України «Про порядок виділення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 в натурі (на місцевості) земельних ділянок  власникам земельних часток (паїв)» та п. 34 ч. 1 ст. 26 Закону України «Про місцеве самоврядування в Україні», статті 12, 116, 118, 121, 126 Земельного кодексу України; ст. 25, 55 Закон України «Про землеустрій»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Затвердження документації із землеустрою з метою передачі невитребуваних земельних ділянок (паїв) в оренду 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ст.13 Закону України «Про порядок виділення в натурі (на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місцевості) земельних ділянок власникам земельних часток (паїв)», ст. 25, 55 Закон України «Про землеустрій» п. 34 ч. 1 ст. 26 Закону України «Про місцеве самоврядування в Україні» статті 32, 33 Закону України «Про оренду землі»; Податковий кодекс України.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Надання дозволу на виготовлення документації із землеустрою з метою передачі земельної ділянки в постійне користування або у власність співвласникам багатоквартирного будинку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Статті 59, 92, 116, 122, 123, 186`, 42, 92 Земельного Кодексу України,. статті 22, 50, 55, 56 Закон України «Про землеустрій»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Надання дозволу на розроблення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проєкту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 землеустрою щодо відведення земельної ділянки з метою її продажу громадянам, юридичним особам 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Стаття 128 Земельного кодексу України, статті 22, 50, 55, 56 Закон України «Про землеустрій», стаття 13 Закон України «Про оцінку земель»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Про укладення договору оренди землі на новий строк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ст. ст. 12, 93, 122, 134 Земельного кодексу України, ст. 26 Закону України «Про місцеве самоврядування в Україні», ст.33 Закону України «Про оренду землі»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Внесення змін до договорів оренди землі за ініціативою орендаря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Статті 93 Земельний кодекс України, статті 30 Закону України «Про оренду землі»; Податковий кодекс України.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Припинення договору оренди землі за ініціативою орендаря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Статті 93 Земельний кодекс України, статті 31, 32, 321, 34 Закону України «Про оренду землі», Податковий кодекс України.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Надання згоди на поділ та об’єднання земельних ділянок комунальної власності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Статті 12, 87, 91, 110, 116, 118, 120, 121, 122, 186 Земельний кодекс України, статті 19, 22, 56 Закону України «Про землеустрій»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Продаж земельних ділянок комунальної власності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Стаття 127,128 Земельного кодексу України, статті 22, 50, 55, 56 Закон України «Про землеустрій», стаття 13 Закону України «Про оцінку земель»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Затвердження документації із землеустрою з метою передачі земельної (-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их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) ділянки (-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ок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) в оренду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Стаття 127, 128 Земельного кодексу України, статті 22, 50, 55, 56 Закон України «Про землеустрій», стаття 13 Закону України «Про оцінку земель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Статті 123 Земельний Кодекс України; ст. 266 Податковий кодекс України, ст. 25, 55 Закон України «Про землеустрій», Законом України «Про порядок виділення в натурі (на місцевості) земельних ділянок власникам земельних часток (паїв)»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color="000000" w:sz="8" w:space="0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Про внесення змін та доповнень до рішення сесії Менської міської ради з метою врегулювання земельних питань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Стаття 12 Земельного кодексу України, п.34 ст.26 Закону України про місцеве самоврядування в Україні»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vAlign w:val="top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Про передачу в оренду земельної (-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их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) ділянки (-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ок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ст.ст.12, 93, 122, 134  Земельного кодексу України, Закон України «Про землеустрій», Закон України «Про оренду землі», п.34 ст. 26 Закону України «Про місцеве самоврядування в Україні»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Про надання дозволу на виготовлення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проєктної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 документації із землеустрою щодо зміни цільового призначення земельної ділянки 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ст. ст. 12, 20, 122 Земельного кодексу України, Закон України «Про землеустрій», п.34 ст. 26 Закону України «Про місцеве самоврядування в Україні»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Про надання дозволу на виготовлення технічної документації із землеустрою щодо поділу  земельної ділянки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ст. ст. 12, 79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vertAlign w:val="superscript"/>
                <w:lang w:eastAsia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 122 Земельного кодексу України, Закон України «Про землеустрій», п.34 ст. 26 Закону України «Про місцеве самоврядування в Україні»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Про надання дозволу на виготовлення технічної документації із землеустрою щодо об’єднання  земельних ділянок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ст. ст. 12, 79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vertAlign w:val="superscript"/>
                <w:lang w:eastAsia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, 122 Земельного кодексу України, Закон України «Про землеустрій», п.34 ст. 26 Закону України «Про місцеве самоврядування в Україні»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Видача особі подання про можливість призначення її опікуном або піклувальником повнолітньої недієздатної особи або особи, цивільна дієздатність якої обмежена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Цивільний кодекс України; Цивільний процесуальний кодекс України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Видача дозволу опікуну на вчинення правочинів щодо: відмови від майнових прав підопічного; видання письмових зобов’язань від імені підопічного; укладення договорів, які підлягають нотаріаль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ному посвідченню та (або) державній реєстрації, в тому числі договорів щодо поділу або обміну житлового будинку, квартири; укладення договорів щодо іншого цінного майна; управління нерухомим майном або майном, яке потребує постійного управління, власником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якого є підопічна недієздатна особа; передання нерухомого майна або майна, яке потребує постійного управління, власником якого є підопічна недієздатна особа, за договором в управління іншій особі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Цивільний кодекс України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Видача дозволу піклувальнику для надання згоди підопічній повнолітній особі, дієздатність якої обмежена, на вчинення правочину щодо: відмови від майнових прав підопічного; видання пи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сьмових зобов’язань від імені підопічного; укладення договорів, які підлягають нотаріальному посвідченню та (або) державній реєстрації, в тому числі договорів щодо поділу або обміну житлового будинку, квартири; укладення договорів щодо іншого цінного майна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Цивільний кодекс України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Надання дозволу на оформлення документації щодо відведення земельної ділянки у власність дитини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Закон України «Про охорону дитинства».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Закону України «Про основи соціального захисту бездомних осіб і безпритульних дітей».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Сімейний Кодекс України.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Цивільний Кодекс України.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Постанова Кабінету Міністрів України від 24.09.2008 р.№ 866 «Питання діяльності органу опіки та піклування, пов’язаної з захистом прав дитини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Надання висновку (рішення) виконавчого комітету про визначення місця проживання дитини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Закон України “Про органи і служби у справах дітей та спеціальні установи для дітей”.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Сімейний Кодекс України.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Цивільний Кодекс України.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Постанова Кабінету Міністрів України від 24.09.2008 р.№ 866 «Питання діяльності органу опіки та піклування, пов’язаної з захистом прав дитини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Надання дозволу на вчинення правочину щодо нерухомого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майна, право власності на яке або право користування на яке має дитина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Закон України «Про охорону дитинства»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Сімейний Кодекс України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Цивільний Кодекс України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Постанова Кабінету Міністрів України від 24.09.2008р. №866»;Питання діяльності органу опіки та піклування, пов’язаної з захистом прав дитини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Прийняття рішення щодо соціального обслуговування громадянина  КУ «Територіальний центр соціального обслуговування (надання соціальних послуг)»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Закони України „Про соціальні послуги” від 17.01.2019 № 2671-VIII; „Про основні засади соціального захисту ветеранів праці та інших громадян похилого віку в Україні” від 16.12.1993 № 3721-XII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Видача свідоцтва про право власності на житло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Житловий кодекс Української РСР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«Про приватизацію державного житлового фонду», «Про забезпечення реалізації житлових прав мешканців гуртожитків», «Про внесення змін до деяких законодавчих актів України щодо забезпечення реалізації житлових прав мешканців гуртожитків»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Видача довідки про перебування на квартирному обліку за місцем вимоги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Житловий кодекс Української РСР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Правила обліку громадян, як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і потребують поліпшення житлових умов, і надання їм жилих приміщень в Українській РСР, затверджені постановою Ради Міністрів Української  РСР і Української республіканської ради професійних спілок від 11 грудня  1984 року № 470 (із змінами та доповненнями)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Взяття на квартирний облік громадян, які потребують поліпшення житлових умов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Житловий кодекс Української РСР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Правила обліку громадян, які потребують поліпшення житлових умов, і нада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ння їм Постанова Ради Міністрів Української РСР від 4 лютого 1988 р. №37 «Про службові жилі приміщення» жилих приміщень в Українській РСР, затверджені постановою Ради Міністрів Української  РСР і Української республіканської ради професійних спілок від 11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грудня  1984 року № 470 (із змінами та доповненнями)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Видача ордера на службове жиле приміщення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Житловий кодекс Української РСР , Постанова Ради Міністрів Української РСР від 4 лютого 1988 р. №37 «Про службові жилі приміщення»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ru-RU"/>
              </w:rPr>
              <w:t xml:space="preserve">Видача висновку про погодження документації із землеустрою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Статті 186, 186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vertAlign w:val="superscript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 Земельного кодексу України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8"/>
                <w:szCs w:val="28"/>
              </w:rPr>
              <w:t xml:space="preserve">Надання субсидії для відшкодування витрат на оплату житлово-комунальних послуг, придбання скрапленого газу, твердого та рідкого пічного побутового палива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Закон України „Про житлово-комунальні послуги” від 09.11.2017 № 2189-VIII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Положення про порядок призначення житлових субсидій, затверджене постановою Кабінету Міністрів України від 21.10.1995 № 848 (зі змінами) (далі – Положення)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Style w:val="564"/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Призначення пільги на придбання палива, у тому числі рідкого, скрапленого балонного газу для побутових потреб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Бюджетний кодекс України, Закони України „Про статус ветеранів війни, гарантії їх соціального захисту” від 22.10.1993 № 3551-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en-US"/>
              </w:rPr>
              <w:t xml:space="preserve">XII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, „Про жертви нацис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тських переслідувань” від 23.03.2000 № 1584-ІІІ, „Про основні засади соціального захисту ветеранів праці та інших громадян похилого віку в Україні” від 16.12.1993 № 3721-ХІІ, „Про статус і соціальний захист громадян, які постраждали внаслідок Чорнобильсько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ї катастрофи” від 28.02.1991 № 796-ХІІ, „Про статус ветеранів військової служби, ветеранів органів внутрішніх справ, ветеранів Національної поліції і деяких інших осіб та їх соціальний захист” від 24.03.1998 № 203/98-ВР, „Про освіту” від 05.09.2017 № 2145-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en-US"/>
              </w:rPr>
              <w:t xml:space="preserve">VIII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, „Про бібліотеки і бібліотечну справу” від 27.01.1995 № 32/95-ВР, „Про захист рослин” від 14.10.1998 № 180-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en-US"/>
              </w:rPr>
              <w:t xml:space="preserve">XIV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, „Про охорону дитинства” від 26.04.2001 № 2402-ІІІ, „Про культуру” від 14.12.2010 № 2778-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en-US"/>
              </w:rPr>
              <w:t xml:space="preserve">VI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, Основи законодавства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України про охорону здоров’я від 19.11.1992 № 2801-ХІІ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Призначення пільги на оплату житла, комунальних послуг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Бюджетний кодекс України, Закони України „Про статус ветеранів війни, гарантії їх соціального захисту” від 22.10.1993 № 3551-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en-US"/>
              </w:rPr>
              <w:t xml:space="preserve">XII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, „Про жертви нацистських переслідувань” від 23.03.2000 № 1584-ІІІ, „Про основні засади соціального захисту ветеранів праці та інших громадян похилого віку в Україні” від 16.12.1993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br/>
              <w:t xml:space="preserve">№ 3721-ХІІ, „Про статус і соціальний захист громадян, які постраждали внаслідок Чорнобильської катастрофи” від 28.02.1991 № 796-ХІІ, „Про реабілітацію жертв репресій комуністичного тоталітарного режиму 1917–1991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роківˮ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 від 17.04.1991 № 962-ХІІ, „Про соціальний і правовий захист військовослужбовців та членів їх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сімейˮ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 від 20.12.1991 № 2011-ХІІ, „Про статус ветеранів військової служби, ветеранів органів внутрішніх справ, ветеранів Національної поліції і деяких інших осіб та їх соціальний захист” від 24.03.1998 № 203/98-ВР, „Про Службу безпеки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Україниˮ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 від 25.03.1992 № 2229-ХІІ, „Про освіту” від 05.09.2017 № 2145-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en-US"/>
              </w:rPr>
              <w:t xml:space="preserve">VIII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, „Про бібліотеки і бібліотечну справу” від 27.01.1995 № 32/95-ВР, „Про захист рослин” від 14.10.1998 № 180-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en-US"/>
              </w:rPr>
              <w:t xml:space="preserve">XIV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, „Про музеї та музейну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справуˮ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 від 29.06.1995 № 249/95-ВР, „Про соціальний захист дітей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війниˮ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 від 18.11.2004 № 2195-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en-US"/>
              </w:rPr>
              <w:t xml:space="preserve">IV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, „Про охорону дитинства” від 26.04.2001 № 2402-ІІІ, „Про відновлення прав осіб, депортованих за національною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ознакоюˮ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 від 17.04.2014 № 1223-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en-US"/>
              </w:rPr>
              <w:t xml:space="preserve">V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ІІ, „Про культуру” від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14.12.2010 № 2778-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en-US"/>
              </w:rPr>
              <w:t xml:space="preserve">VI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, Основи законодавства України про охорону здоров’я від 19.11.1992 № 2801-ХІІ, Кодекс цивільного захисту України від 02.10.2012 № 5403-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en-US"/>
              </w:rPr>
              <w:t xml:space="preserve">VI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Призначення тимчасової державної допомоги дітям, батьки яких ухиляються від сплати аліментів, не мають можливості утримувати дитину або місце їх проживання чи перебування невідоме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Сімейний кодекс України від 10.01.2002 № 2947-ІІІ  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станова Кабінету Міністрів України від 22.02.2006 № 189 „Про затвердження Порядку призначення та виплати тимчасової державної допомоги дітям, батьки яких ухиляються від сплати аліментів, не мають можливості утримувати дитину або місце проживання їх невідо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ме”; Порядок обчислення середньомісячного сукупного доходу сім’ї (домогосподарства) для усіх видів державної соціальної допомоги, затверджений постановою Кабінету Міністрів України від 22.07.2020 № 632 „Деякі питання виплати державної соціальної допомоги”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Призначення одноразової винагороди жінкам, яким присвоєно почесне звання України „Мати-героїня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”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Указ Президента України від 25.12.2007 № 1254 „Про одноразову винагороду жінкам, яким присвоєно почесне звання України „Мати-героїня”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Видача довідки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shd w:val="clear" w:color="auto" w:fill="FFFFFF"/>
              </w:rPr>
              <w:t xml:space="preserve">для отримання пільг особам з інвалідністю, які не мають права на пенсію чи соціальну допомогу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Закон України „Про основи соціальної захищеності осіб з інвалідністю в Україні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shd w:val="clear" w:color="auto" w:fill="FFFFFF"/>
              </w:rPr>
              <w:t xml:space="preserve">” від 21.03.1991 № 875-XII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Призначення державної соціальної допомоги малозабезпеченим сім’ям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Закон України „Про державну соціальну допомогу малозабезпеченим сім’ям” від 01.06.2000 № 1768- ІІІ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Призначення державної допомоги у зв’язку з вагітністю та пологами жінкам, які не застраховані в системі 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загальнообов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  <w:lang w:val="ru-RU"/>
              </w:rPr>
              <w:t xml:space="preserve">’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язкового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 державного соціального страхування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Закон України „Про державну допомогу сім’ям з дітьми” від 21.11.1992 № 2811-ХІІ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731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Призначення державної допомоги при народженні дитини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Закон України „Про державну допомогу сім’ям з дітьми” від 21.11.1992 № 2811-ХІІ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Призначення одноразової натуральної допомоги „пакунок малюка”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Закон України „Про державну допомогу сім’ям з дітьми” від 21.11.1992 № 2811-ХІІ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Постанова Кабінету Міністрів України від 25.11.2020 № 1180 „Деякі питання надання при народженні дитини одноразової натуральної допомоги „пакунок малюка”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Призначення державної допомоги при усиновленні дитини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Закон України „Про державну допомогу сім’ям з дітьми”  від 21.11.1992 № 2811-ХІІ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Призначення державної допомоги на дітей, над якими встановлено опіку чи піклування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Закон України „Про державну допомогу сім’ям з дітьми”  від 21.11.1992 № 2811-ХІІ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Призначення державної допомоги на дітей одиноким матерям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Закон України „Про державну допомогу сім’ям з дітьми”  від 21.11.1992 № 2811-ХІІ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Призначення державної допомоги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 одному з батьків,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усиновлювачам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, опікунам, піклувальникам, одному з прийомних батьків, батькам-вихователям, які доглядають за хворою дитиною, якій не встановлено інвалідність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Закон України „Про державну допомогу сім’ям з дітьми”  від 21.11.1992 № 2811-ХІІ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Призначення державної допомоги на дітей, які виховуються у багатодітних сім’ях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Закон України „Про охорону дитинства” від 26.04.2001 № 2402-ІІI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Призначення державної соціальної допомоги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 особам з інвалідністю з дитинства або дітям з інвалідністю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Закон України „Про державну соціальну допомогу особам з інвалідністю з дитинства та дітям з інвалідністю”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від 16.11.2000 № 2109-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ІІ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Призначення надбавки на догляд за особами з інвалідністю з дитинства та дітьми з інвалідністю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Закон України „Про державну соціальну допомогу особам з інвалідністю з дитинства та дітям з інвалідністю”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від 16.11.2000 № 2109-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ІІ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Призначення державної соціальної допомоги особам, які не мають права на пенсію, та особам з інвалідністю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ru-RU"/>
              </w:rPr>
              <w:t xml:space="preserve">Закон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 України „Про державну соціальну допомогу особам, які не мають права на пенсію, та особам з інвалідністю” від 18.05.2004 № 1727-IV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Призначення державної соціальної допомоги на догляд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ru-RU"/>
              </w:rPr>
              <w:t xml:space="preserve">Закон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 України „Про державну соціальну допомогу особам, які не мають права на пенсію, та особам з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інвалідністю” від 18.05.2004 № 1727-IV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Призначення компенсації за догляд фізичній особі, яка надає соціальні послуги з догляду без здійснення підприємницької діяльності на непрофесійній основі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Закон України „Про соціальні послуги” від 17.01.2019 № 2671-VIII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Постанова Кабінету Міністрів України від 23.09.2020 № 859 „Деякі питання призначення і виплати компенсації фізичним особам, які надають соціальні послуги з догляду на непрофесійній основі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shd w:val="clear" w:color="auto" w:fill="FFFFFF"/>
              </w:rPr>
              <w:t xml:space="preserve">Призначення тимчасової державної соціальної допомоги непрацюючій особі, яка досягла загального пенсійного віку, але не набула права на пенсійну виплату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Закон України „Про загальнообов’язкове державне пенсійне страхування” від 09.07.2003 № 1058-IV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Постанова Кабінету Міністрів України від 27.12.2017 № 1098 „Про затвердження Порядку призначення тимчасової державної соціальної допомоги непрацюючій особі, яка досягла загального пенсійного віку, але не набула права на пенсійну виплату”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Пр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изначення грошової допомоги особі, яка проживає разом з особою з інвалідністю i або ii групи внаслідок психічного розладу, яка за висновком лікарсько-консультативної комісії закладу охорони здоров’я потребує постійного стороннього догляду, на догляд за нею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Закон України „Про психіатричну допомогу” 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від 22.02.2000 № 1489- IІІ 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Постанова Кабінету Міністрів України від 02.08.2000 № 1192 „Про надання щомісячної грошової до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помоги особі, яка проживає разом з особою з інвалідністю I чи II групи внаслідок психічного розладу, яка за висновком лікарської комісії медичного закладу потребує постійного стороннього догляду, на догляд за нею”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Style w:val="565"/>
                <w:rFonts w:ascii="Times New Roman" w:hAnsi="Times New Roman" w:cs="Times New Roman" w:eastAsia="Times New Roman"/>
                <w:sz w:val="28"/>
                <w:szCs w:val="28"/>
              </w:rPr>
              <w:t xml:space="preserve">Призначення одноразової грошової / матеріальної допомоги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особам з інвалідністю та дітям з інвалідністю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Закон України „Про основи соціальної захищеності осіб з інвалідністю в Україні” від 21.03.1991 № 875-XII 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Постанова Кабінету Міністрів України від 12.04.2017 № 256 „Деякі питання використання коштів державного бюджету для 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виконання заходів із соціального захисту дітей, сімей, жінок та інших найбільш вразливих категорій населення”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Style w:val="564"/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Призначення одноразової компенсації сім’ям, які втратили годувальника із числа учасників ліквідації наслідків аварії на Чорнобильській АЕС, смерть яких пов’язана з чорнобильською катастрофою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Закон України „Про статус і соціальний захист громадян, які постраждали внаслідок Чорнобильської катастрофи” від 28.02.1991 № 796-XII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Style w:val="564"/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Призначення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одноразової компенсації дружинам (чоловікам), якщо та (той) не одружилися вдруге, померлих гро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мадян, смерть яких пов’язана з Чорнобильською катастрофою, участю у ліквідації наслідків інших ядерних аварій, у ядерних випробуваннях, військових навчаннях із застосуванням ядерної зброї, у складанні ядерних зарядів та здійсненні на них регламентних робіт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Закон України „Про статус і соціальний захист громадян, які постраждали внаслідок Чорнобильської катастрофи” від 28.02.1991 № 796-XII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Style w:val="564"/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Призначення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одноразової компенсації батькам померлого учасника ліквідації наслідків аварії на Чорнобильській АЕС, смерть якого пов’язана з Чорнобильською катастрофою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Закон України „Про статус і соціальний захист громадян, які постраждали внаслідок Чорнобильської катастрофи” від 28.02.1991 № 796-XII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Style w:val="564"/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Призначення компенсацій та допомоги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учасникам ліквідації наслідків аварії на Чорнобильській АЕС, громадянам, які брали участь у ліквідації інших ядерних аварій та випробувань, у військових навчанн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ях із застосуванням ядерної зброї, у складанні ядерних зарядів та здійсненні на них регламентних робіт, віднесеним до категорії 1, або 2, або 3; потерпілим від чорнобильської катастрофи, віднесеним до категорій 1, або 2, або 3; потерпілим від радіаційного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опромінення, віднесеним до категорій 1 або 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Закон України „Про статус і соціальний захист громадян, які постраждали внаслідок Чорнобильської катастрофи” від 28.02.1991 № 796-XII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Style w:val="564"/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Призначення компенсацій та допомоги дітям, які потерпіли від Чорнобильської катастрофи, дітям з інвалідністю, інвалідність яких пов’язана з Чорнобильською катастрофою, та їхнім батькам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Закон України „Про статус і соціальний захист громадян, які постраждали внаслідок Чорнобильської катастрофи” від 28.02.1991 № 796-XII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Призначення грошової компенсації вартості проїзду до санаторно-курортного закладу і назад особам з інвалідністю внаслідок війни та прирівняним до них особам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Закон України „Про статус ветеранів війни, гарантії їх соціального захисту” від 22.10.1993 № 3551-ХІІ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Призначення грошової компенсації особам з інвалідністю замість санаторно-курортної путівки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Закон України „Про реабілітацію осіб з інвалідністю в Україні” від 06.10.2005 № </w:t>
            </w:r>
            <w:r>
              <w:rPr>
                <w:rStyle w:val="566"/>
                <w:rFonts w:ascii="Times New Roman" w:hAnsi="Times New Roman" w:cs="Times New Roman" w:eastAsia="Times New Roman"/>
                <w:sz w:val="28"/>
                <w:szCs w:val="28"/>
              </w:rPr>
              <w:t xml:space="preserve">2961-IV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Призначення грошової компенсації вартості проїзду до санаторно-курортного закладу (відділення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спинального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 профілю) і назад особам, які супроводжують осіб з інвалідністю i та ii групи з наслідками травм і захворюваннями хребта та спинного мозку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Закон України „Про основи соціальної захищеності осіб з інвалідністю в Україні” від 21.03.1991 № 875-ХІІ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Призначення грошової компенсації вартості самостійного санаторно-курортного лікування осіб з інвалідністю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Закон України „Про реабілітацію осіб з інвалідністю в Україні” від 06.10.2005 № 2961-IV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Призначення грошової компенсації замість санаторно-курортної путівки громадянам, які постраждали внаслідок Чорнобильської катастрофи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</w:rPr>
            </w:r>
            <w:hyperlink r:id="rId12" w:history="1">
              <w:r>
                <w:rPr>
                  <w:rFonts w:ascii="Times New Roman" w:hAnsi="Times New Roman" w:cs="Times New Roman" w:eastAsia="Times New Roman"/>
                  <w:bCs/>
                  <w:sz w:val="28"/>
                  <w:szCs w:val="28"/>
                </w:rPr>
                <w:t xml:space="preserve">Закон України „Про статус і соціальний захист громадян, які постраждали внаслідок Чорнобильської катастрофи” </w:t>
              </w:r>
            </w:hyperlink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 від 28.02.1991 № </w:t>
            </w:r>
            <w:hyperlink r:id="rId13" w:history="1">
              <w:r>
                <w:rPr>
                  <w:rStyle w:val="563"/>
                  <w:rFonts w:ascii="Times New Roman" w:hAnsi="Times New Roman" w:cs="Times New Roman" w:eastAsia="Times New Roman"/>
                  <w:bCs/>
                  <w:sz w:val="28"/>
                  <w:szCs w:val="28"/>
                </w:rPr>
                <w:t xml:space="preserve">796-ХІІ</w:t>
              </w:r>
            </w:hyperlink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Призначення грошової компенсації особам з інвалідністю на бензин, ремонт і технічне обслуговування автомобілів та на транспортне обслуговування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shd w:val="clear" w:color="auto" w:fill="FFFFFF"/>
              </w:rPr>
              <w:t xml:space="preserve">Закони України ,,Про реабілітацію осіб з інвалідністю в Україні”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shd w:val="clear" w:color="auto" w:fill="FFFFFF"/>
              </w:rPr>
              <w:t xml:space="preserve">від 06.10.2005 № 2961-IV, ,,Про гуманітарну допомогу”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shd w:val="clear" w:color="auto" w:fill="FFFFFF"/>
              </w:rPr>
              <w:t xml:space="preserve">від 22.10.1999 № 1192-XIV, ,,Про основи соціальної захищеності осіб з інвалідністю в Україні”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shd w:val="clear" w:color="auto" w:fill="FFFFFF"/>
              </w:rPr>
              <w:t xml:space="preserve">від 21.03.1991 № 875-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shd w:val="clear" w:color="auto" w:fill="FFFFFF"/>
                <w:lang w:val="ru-RU"/>
              </w:rPr>
              <w:t xml:space="preserve">XII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Призначення грошової компенсації замість санаторно-курортної путівки особам з інвалідністю внаслідок війни та прирівняним до них особам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Закон України „Про статус ветеранів війни, гарантії соціального захисту” від 22.10.1993 № 3551-ХІІ, „Про жертви нацистських переслідувань” від 23.03.2000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№ 1584-ІІІ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Видача направлення до реабілітаційних установ особам з інвалідністю, дітям з інвалідністю, дітям віком до трьох років, які належать до групи ризику щодо отримання інвалідності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shd w:val="clear" w:color="auto" w:fill="FFFFFF"/>
              </w:rPr>
              <w:t xml:space="preserve">Закон України ,,Про реабілітацію осіб з інвалідністю в Україні”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shd w:val="clear" w:color="auto" w:fill="FFFFFF"/>
              </w:rPr>
              <w:t xml:space="preserve">від 06.10.2005 № 2961-IV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Видача направлення на проходження обласної, центральної міської у мм. Києві та Севастополі медико-соціальної експертної комісії для взяття на облік для забезпечення осіб з інвалідністю та законних представників дітей з інвалідністю автомобілем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shd w:val="clear" w:color="auto" w:fill="FFFFFF"/>
              </w:rPr>
              <w:t xml:space="preserve">Закони України ,,Про реабілітацію осіб з інвалідністю в Україні”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shd w:val="clear" w:color="auto" w:fill="FFFFFF"/>
              </w:rPr>
              <w:t xml:space="preserve">від 06.10.2005 № 2961-IV, ,,Про гуманітарну допомогу”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shd w:val="clear" w:color="auto" w:fill="FFFFFF"/>
              </w:rPr>
              <w:t xml:space="preserve">від 22.10.1999 № 1192-XIV, ,,Про основи соціальної захищеності осіб з інвалідністю в Україні”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shd w:val="clear" w:color="auto" w:fill="FFFFFF"/>
              </w:rPr>
              <w:t xml:space="preserve">від 21.03.1991 № 875-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shd w:val="clear" w:color="auto" w:fill="FFFFFF"/>
                <w:lang w:val="ru-RU"/>
              </w:rPr>
              <w:t xml:space="preserve">XII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Видача направлення на забезпечення технічними та іншими засобами реабілітації осіб з інвалідністю та дітей з інвалідністю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Закони України „Про основи соціальної захищеності осіб з інвалідністю в Україні” від 21.03.1991 № 875-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en-US"/>
              </w:rPr>
              <w:t xml:space="preserve">XII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, „Про реабілітацію осіб з інвалідністю в Україні” від 19.12.2017 № 2249-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en-US"/>
              </w:rPr>
              <w:t xml:space="preserve">VI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II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Style w:val="564"/>
                <w:rFonts w:ascii="Times New Roman" w:hAnsi="Times New Roman" w:cs="Times New Roman" w:eastAsia="Times New Roman"/>
                <w:bCs/>
                <w:sz w:val="28"/>
                <w:szCs w:val="28"/>
                <w:lang w:eastAsia="ru-RU"/>
              </w:rPr>
              <w:t xml:space="preserve">Установлення статусу, видача посвідчень батькам багатодітної сім’ї та дитини з багатодітної сім’ї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Закони України „Про охорону дитинства” від 26.04.2001 № 2402-ІІІ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Style w:val="564"/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Установлення статусу, видача посвідчень особам, які постраждали внаслідок чорнобильської катастрофи (відповідно до визначених категорій)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Закон України „Про статус і соціальний захист громадян, які постраждали внаслідок Чорнобильської катастрофи” 28.02.1991 № 796-XII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Видача посвідчень особам з інвалідністю та особам з інвалідністю з дитинства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Закони України „Про державну соціальну допомогу особам з інвалідністю з дитинства та дітям з інвалідністю” від 16.11.2000 № 2109-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ІІ, „Про державну соціальну допомогу особам, які не мають права на пенсію, та особам з інвалідністю” від 18.05.2004 № 1727-І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en-US"/>
              </w:rPr>
              <w:t xml:space="preserve">V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Установлення статусу, видача посвідчень ветеранам праці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Закон України „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shd w:val="clear" w:color="auto" w:fill="FFFFFF"/>
              </w:rPr>
              <w:t xml:space="preserve">Про основні засади соціального захисту ветеранів праці та інших громадян похилого віку в Україні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” від </w:t>
            </w:r>
            <w:r>
              <w:rPr>
                <w:rStyle w:val="567"/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16.12.1993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shd w:val="clear" w:color="auto" w:fill="FFFFFF"/>
              </w:rPr>
              <w:t xml:space="preserve">№ </w:t>
            </w:r>
            <w:r>
              <w:rPr>
                <w:rStyle w:val="566"/>
                <w:rFonts w:ascii="Times New Roman" w:hAnsi="Times New Roman" w:cs="Times New Roman" w:eastAsia="Times New Roman"/>
                <w:sz w:val="28"/>
                <w:szCs w:val="28"/>
                <w:shd w:val="clear" w:color="auto" w:fill="FFFFFF"/>
              </w:rPr>
              <w:t xml:space="preserve">3721-XII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Style w:val="564"/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Установлення статусу, видача посвідчень жертвам нацистських переслідувань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Закон України „Про жертви нацистських переслідувань”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br/>
              <w:t xml:space="preserve">від 23.03.2000 № 1584-III (далі – Закон)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Взяття на облік для забезпечення санаторно-курортним лікуванням (путівками) осіб з інвалідністю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Закон України „Про основи соціальної захищеності осіб з інвалідністю в Україні” від 21.03.1991 № 875-ХІІ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Взяття на облік для забезпечення санаторно-курортним лікуванням (путівками) ветеранів війни та осіб, на яких поширюється дія законів України „про статус ветеранів війни, гарантії їх соціального захисту” та „про жертви нацистських переслідувань”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Закон України „Про статус ветеранів війни, гарантії соціального захисту” від 22.10.1993 № 3551-ХІІ, „Про жертви нацистських переслідувань” від 23.03.2000 № 1584-ІІІ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Style w:val="564"/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Взяття на облік для забезпечення санаторно-курортним лікуванням (путівками) громадян, які постраждали внаслідок Чорнобильської катастрофи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Закон України „Про статус і соціальний захист громадян, які постраждали внаслідок Чорнобильської катастрофи” від 28.02.1991 № 796-ХІІ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Style w:val="564"/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Призначення щомісячної адресної допомоги внутрішньо переміщеним особам для покриття витрат на проживання, в тому числі на оплату житлово-комунальних послуг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Закон України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ru-RU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Про забезпечення прав і свобод внутрішньо переміщених осіб” від 20.10.2014 № 1706-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en-US"/>
              </w:rPr>
              <w:t xml:space="preserve">VII 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  <w:t xml:space="preserve">Постанова Кабінету Міністрів України від 01.10.2014 № 505 „Про надання щомісячної адресної допомоги внутрішньо переміщеним особам для покриття витрат на проживання, в тому числі на оплату житлово-комунальних послуг”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Видача дозволу на виконання робіт підвищеної небезпеки та/або на експлуатацію (застосування) машин, механізмів,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устатковання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 підвищеної небезпеки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охорону праці»;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дозвільну систему у сфері господарської діяльності»;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адміністративні послуги».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Анулювання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 дозволу на виконання робіт підвищеної небезпеки та/або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на експлуатацію (застосування) машин, механізмів,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устатковання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 підвищеної небезпеки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охорону праці»;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дозвільну систему у сфері господарської діяльності»;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адміністративні послуги».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Реєстрація декларації відповідності матеріально-технічної бази вимогам законодавства з питань охорони праці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охорону праці»;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дозвільну систему у сфері господарської діяльності»;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адміністративні послуги».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Надання одноразової грошової матеріальної допомоги жителям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Менської територіальної громади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місцеве самоврядування в України», Бюджетний кодекс України.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Надання пільг хворим з хронічною нирковою недостатністю, що отримують програмний гемодіаліз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Бюджетний кодекс України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Законами України: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 “Про місцеве самоврядування в Україні”;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 “Про основи соціальної захищеності осіб з інвалідністю в Україні”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Надання матеріальної допомоги учасникам АТО/ООС та членам їх сімей, сім’ям загиблих учасників АТО/ООС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місцеве самоврядування в України», Бюджетний кодекс України.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Надання пільг на житлово-комунальні послуги, тверде паливо та скраплений газ особам з інвалідністю по зору І та ІІ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 гр., сім’ям загиблих воїнів-інтернаціоналістів та сім’ ям загиблих(померлих) учасників антитерористичної операції, операції об’єднаних сил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Бюджетний кодекс України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Законами України: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 “Про місцеве самоврядування в Україні”;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 “Про статус ветеранів війни, гарантії їх соціального захисту”;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 “Про основи соціальної захищеності осіб з інвалідністю в Україні”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Надання одноразової грошової допомоги при народженні дитини жителям Менської міської територіальної громади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місцеве самоврядування в України», Бюджетний кодекс України.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textDirection w:val="lrTb"/>
            <w:noWrap w:val="false"/>
          </w:tcPr>
          <w:p>
            <w:pPr>
              <w:pStyle w:val="561"/>
              <w:numPr>
                <w:ilvl w:val="0"/>
                <w:numId w:val="1"/>
              </w:numPr>
              <w:contextualSpacing w:val="true"/>
              <w:ind w:left="57" w:firstLine="0"/>
              <w:jc w:val="left"/>
              <w:spacing w:lineRule="auto" w:line="240" w:after="0"/>
              <w:tabs>
                <w:tab w:val="left" w:pos="63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</w:rPr>
            </w:r>
            <w:bookmarkStart w:id="1" w:name="_Hlk71897882"/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Надання матеріальної допомоги на поховання деяких категорій громадян Менської міської територіальної громади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місцеве самоврядування в України», Закон України «Про поховання та похоронну справу», постанова КМУ від 31.01.2007 №99 «Про затвердження Порядку надання допомоги на поховання деяких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категорій осіб виконавцю волевиявлення померлого або особі, яка зобов’язалася поховати померлого»</w:t>
            </w:r>
            <w:bookmarkEnd w:id="1"/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8">
    <w:name w:val="Heading 1"/>
    <w:basedOn w:val="557"/>
    <w:next w:val="557"/>
    <w:link w:val="38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9">
    <w:name w:val="Heading 1 Char"/>
    <w:basedOn w:val="558"/>
    <w:link w:val="388"/>
    <w:uiPriority w:val="9"/>
    <w:rPr>
      <w:rFonts w:ascii="Arial" w:hAnsi="Arial" w:cs="Arial" w:eastAsia="Arial"/>
      <w:sz w:val="40"/>
      <w:szCs w:val="40"/>
    </w:rPr>
  </w:style>
  <w:style w:type="paragraph" w:styleId="390">
    <w:name w:val="Heading 2"/>
    <w:basedOn w:val="557"/>
    <w:next w:val="557"/>
    <w:link w:val="3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1">
    <w:name w:val="Heading 2 Char"/>
    <w:basedOn w:val="558"/>
    <w:link w:val="390"/>
    <w:uiPriority w:val="9"/>
    <w:rPr>
      <w:rFonts w:ascii="Arial" w:hAnsi="Arial" w:cs="Arial" w:eastAsia="Arial"/>
      <w:sz w:val="34"/>
    </w:rPr>
  </w:style>
  <w:style w:type="paragraph" w:styleId="392">
    <w:name w:val="Heading 3"/>
    <w:basedOn w:val="557"/>
    <w:next w:val="557"/>
    <w:link w:val="3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3">
    <w:name w:val="Heading 3 Char"/>
    <w:basedOn w:val="558"/>
    <w:link w:val="392"/>
    <w:uiPriority w:val="9"/>
    <w:rPr>
      <w:rFonts w:ascii="Arial" w:hAnsi="Arial" w:cs="Arial" w:eastAsia="Arial"/>
      <w:sz w:val="30"/>
      <w:szCs w:val="30"/>
    </w:rPr>
  </w:style>
  <w:style w:type="paragraph" w:styleId="394">
    <w:name w:val="Heading 4"/>
    <w:basedOn w:val="557"/>
    <w:next w:val="557"/>
    <w:link w:val="3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5">
    <w:name w:val="Heading 4 Char"/>
    <w:basedOn w:val="558"/>
    <w:link w:val="394"/>
    <w:uiPriority w:val="9"/>
    <w:rPr>
      <w:rFonts w:ascii="Arial" w:hAnsi="Arial" w:cs="Arial" w:eastAsia="Arial"/>
      <w:b/>
      <w:bCs/>
      <w:sz w:val="26"/>
      <w:szCs w:val="26"/>
    </w:rPr>
  </w:style>
  <w:style w:type="paragraph" w:styleId="396">
    <w:name w:val="Heading 5"/>
    <w:basedOn w:val="557"/>
    <w:next w:val="557"/>
    <w:link w:val="3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7">
    <w:name w:val="Heading 5 Char"/>
    <w:basedOn w:val="558"/>
    <w:link w:val="396"/>
    <w:uiPriority w:val="9"/>
    <w:rPr>
      <w:rFonts w:ascii="Arial" w:hAnsi="Arial" w:cs="Arial" w:eastAsia="Arial"/>
      <w:b/>
      <w:bCs/>
      <w:sz w:val="24"/>
      <w:szCs w:val="24"/>
    </w:rPr>
  </w:style>
  <w:style w:type="paragraph" w:styleId="398">
    <w:name w:val="Heading 6"/>
    <w:basedOn w:val="557"/>
    <w:next w:val="557"/>
    <w:link w:val="39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9">
    <w:name w:val="Heading 6 Char"/>
    <w:basedOn w:val="558"/>
    <w:link w:val="398"/>
    <w:uiPriority w:val="9"/>
    <w:rPr>
      <w:rFonts w:ascii="Arial" w:hAnsi="Arial" w:cs="Arial" w:eastAsia="Arial"/>
      <w:b/>
      <w:bCs/>
      <w:sz w:val="22"/>
      <w:szCs w:val="22"/>
    </w:rPr>
  </w:style>
  <w:style w:type="paragraph" w:styleId="400">
    <w:name w:val="Heading 7"/>
    <w:basedOn w:val="557"/>
    <w:next w:val="557"/>
    <w:link w:val="40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1">
    <w:name w:val="Heading 7 Char"/>
    <w:basedOn w:val="558"/>
    <w:link w:val="4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2">
    <w:name w:val="Heading 8"/>
    <w:basedOn w:val="557"/>
    <w:next w:val="557"/>
    <w:link w:val="40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3">
    <w:name w:val="Heading 8 Char"/>
    <w:basedOn w:val="558"/>
    <w:link w:val="402"/>
    <w:uiPriority w:val="9"/>
    <w:rPr>
      <w:rFonts w:ascii="Arial" w:hAnsi="Arial" w:cs="Arial" w:eastAsia="Arial"/>
      <w:i/>
      <w:iCs/>
      <w:sz w:val="22"/>
      <w:szCs w:val="22"/>
    </w:rPr>
  </w:style>
  <w:style w:type="paragraph" w:styleId="404">
    <w:name w:val="Heading 9"/>
    <w:basedOn w:val="557"/>
    <w:next w:val="557"/>
    <w:link w:val="4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5">
    <w:name w:val="Heading 9 Char"/>
    <w:basedOn w:val="558"/>
    <w:link w:val="404"/>
    <w:uiPriority w:val="9"/>
    <w:rPr>
      <w:rFonts w:ascii="Arial" w:hAnsi="Arial" w:cs="Arial" w:eastAsia="Arial"/>
      <w:i/>
      <w:iCs/>
      <w:sz w:val="21"/>
      <w:szCs w:val="21"/>
    </w:rPr>
  </w:style>
  <w:style w:type="paragraph" w:styleId="406">
    <w:name w:val="No Spacing"/>
    <w:qFormat/>
    <w:uiPriority w:val="1"/>
    <w:pPr>
      <w:spacing w:lineRule="auto" w:line="240" w:after="0" w:before="0"/>
    </w:pPr>
  </w:style>
  <w:style w:type="paragraph" w:styleId="407">
    <w:name w:val="Title"/>
    <w:basedOn w:val="557"/>
    <w:next w:val="557"/>
    <w:link w:val="40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8">
    <w:name w:val="Title Char"/>
    <w:basedOn w:val="558"/>
    <w:link w:val="407"/>
    <w:uiPriority w:val="10"/>
    <w:rPr>
      <w:sz w:val="48"/>
      <w:szCs w:val="48"/>
    </w:rPr>
  </w:style>
  <w:style w:type="paragraph" w:styleId="409">
    <w:name w:val="Subtitle"/>
    <w:basedOn w:val="557"/>
    <w:next w:val="557"/>
    <w:link w:val="410"/>
    <w:qFormat/>
    <w:uiPriority w:val="11"/>
    <w:rPr>
      <w:sz w:val="24"/>
      <w:szCs w:val="24"/>
    </w:rPr>
    <w:pPr>
      <w:spacing w:after="200" w:before="200"/>
    </w:pPr>
  </w:style>
  <w:style w:type="character" w:styleId="410">
    <w:name w:val="Subtitle Char"/>
    <w:basedOn w:val="558"/>
    <w:link w:val="409"/>
    <w:uiPriority w:val="11"/>
    <w:rPr>
      <w:sz w:val="24"/>
      <w:szCs w:val="24"/>
    </w:rPr>
  </w:style>
  <w:style w:type="paragraph" w:styleId="411">
    <w:name w:val="Quote"/>
    <w:basedOn w:val="557"/>
    <w:next w:val="557"/>
    <w:link w:val="412"/>
    <w:qFormat/>
    <w:uiPriority w:val="29"/>
    <w:rPr>
      <w:i/>
    </w:rPr>
    <w:pPr>
      <w:ind w:left="720" w:right="720"/>
    </w:pPr>
  </w:style>
  <w:style w:type="character" w:styleId="412">
    <w:name w:val="Quote Char"/>
    <w:link w:val="411"/>
    <w:uiPriority w:val="29"/>
    <w:rPr>
      <w:i/>
    </w:rPr>
  </w:style>
  <w:style w:type="paragraph" w:styleId="413">
    <w:name w:val="Intense Quote"/>
    <w:basedOn w:val="557"/>
    <w:next w:val="557"/>
    <w:link w:val="414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4">
    <w:name w:val="Intense Quote Char"/>
    <w:link w:val="413"/>
    <w:uiPriority w:val="30"/>
    <w:rPr>
      <w:i/>
    </w:rPr>
  </w:style>
  <w:style w:type="paragraph" w:styleId="415">
    <w:name w:val="Header"/>
    <w:basedOn w:val="557"/>
    <w:link w:val="4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6">
    <w:name w:val="Header Char"/>
    <w:basedOn w:val="558"/>
    <w:link w:val="415"/>
    <w:uiPriority w:val="99"/>
  </w:style>
  <w:style w:type="paragraph" w:styleId="417">
    <w:name w:val="Footer"/>
    <w:basedOn w:val="557"/>
    <w:link w:val="4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8">
    <w:name w:val="Footer Char"/>
    <w:basedOn w:val="558"/>
    <w:link w:val="417"/>
    <w:uiPriority w:val="99"/>
  </w:style>
  <w:style w:type="table" w:styleId="419">
    <w:name w:val="Table Grid Light"/>
    <w:basedOn w:val="5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0">
    <w:name w:val="Plain Table 1"/>
    <w:basedOn w:val="5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1">
    <w:name w:val="Plain Table 2"/>
    <w:basedOn w:val="55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2">
    <w:name w:val="Plain Table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3">
    <w:name w:val="Plain Table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Plain Table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5">
    <w:name w:val="Grid Table 1 Light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4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7">
    <w:name w:val="Grid Table 4 - Accent 1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8">
    <w:name w:val="Grid Table 4 - Accent 2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9">
    <w:name w:val="Grid Table 4 - Accent 3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0">
    <w:name w:val="Grid Table 4 - Accent 4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1">
    <w:name w:val="Grid Table 4 - Accent 5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2">
    <w:name w:val="Grid Table 4 - Accent 6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3">
    <w:name w:val="Grid Table 5 Dark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4">
    <w:name w:val="Grid Table 5 Dark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7">
    <w:name w:val="Grid Table 5 Dark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0">
    <w:name w:val="Grid Table 6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1">
    <w:name w:val="Grid Table 6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2">
    <w:name w:val="Grid Table 6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3">
    <w:name w:val="Grid Table 6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4">
    <w:name w:val="Grid Table 6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5">
    <w:name w:val="Grid Table 6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6">
    <w:name w:val="Grid Table 6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7">
    <w:name w:val="Grid Table 7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2">
    <w:name w:val="List Table 2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3">
    <w:name w:val="List Table 2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4">
    <w:name w:val="List Table 2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5">
    <w:name w:val="List Table 2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6">
    <w:name w:val="List Table 2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7">
    <w:name w:val="List Table 2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8">
    <w:name w:val="List Table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5 Dark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6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0">
    <w:name w:val="List Table 6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1">
    <w:name w:val="List Table 6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2">
    <w:name w:val="List Table 6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3">
    <w:name w:val="List Table 6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4">
    <w:name w:val="List Table 6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5">
    <w:name w:val="List Table 6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6">
    <w:name w:val="List Table 7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7">
    <w:name w:val="List Table 7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18">
    <w:name w:val="List Table 7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19">
    <w:name w:val="List Table 7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0">
    <w:name w:val="List Table 7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1">
    <w:name w:val="List Table 7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2">
    <w:name w:val="List Table 7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3">
    <w:name w:val="Lined - Accent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4">
    <w:name w:val="Lined - Accent 1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5">
    <w:name w:val="Lined - Accent 2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6">
    <w:name w:val="Lined - Accent 3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7">
    <w:name w:val="Lined - Accent 4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8">
    <w:name w:val="Lined - Accent 5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9">
    <w:name w:val="Lined - Accent 6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0">
    <w:name w:val="Bordered &amp; Lined - Accent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1">
    <w:name w:val="Bordered &amp; Lined - Accent 1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2">
    <w:name w:val="Bordered &amp; Lined - Accent 2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3">
    <w:name w:val="Bordered &amp; Lined - Accent 3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4">
    <w:name w:val="Bordered &amp; Lined - Accent 4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5">
    <w:name w:val="Bordered &amp; Lined - Accent 5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6">
    <w:name w:val="Bordered &amp; Lined - Accent 6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7">
    <w:name w:val="Bordered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8">
    <w:name w:val="Bordered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9">
    <w:name w:val="Bordered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0">
    <w:name w:val="Bordered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1">
    <w:name w:val="Bordered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2">
    <w:name w:val="Bordered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3">
    <w:name w:val="Bordered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544">
    <w:name w:val="footnote text"/>
    <w:basedOn w:val="557"/>
    <w:link w:val="545"/>
    <w:uiPriority w:val="99"/>
    <w:semiHidden/>
    <w:unhideWhenUsed/>
    <w:rPr>
      <w:sz w:val="18"/>
    </w:rPr>
    <w:pPr>
      <w:spacing w:lineRule="auto" w:line="240" w:after="40"/>
    </w:pPr>
  </w:style>
  <w:style w:type="character" w:styleId="545">
    <w:name w:val="Footnote Text Char"/>
    <w:link w:val="544"/>
    <w:uiPriority w:val="99"/>
    <w:rPr>
      <w:sz w:val="18"/>
    </w:rPr>
  </w:style>
  <w:style w:type="character" w:styleId="546">
    <w:name w:val="footnote reference"/>
    <w:basedOn w:val="558"/>
    <w:uiPriority w:val="99"/>
    <w:unhideWhenUsed/>
    <w:rPr>
      <w:vertAlign w:val="superscript"/>
    </w:rPr>
  </w:style>
  <w:style w:type="paragraph" w:styleId="547">
    <w:name w:val="toc 1"/>
    <w:basedOn w:val="557"/>
    <w:next w:val="557"/>
    <w:uiPriority w:val="39"/>
    <w:unhideWhenUsed/>
    <w:pPr>
      <w:ind w:left="0" w:right="0" w:firstLine="0"/>
      <w:spacing w:after="57"/>
    </w:pPr>
  </w:style>
  <w:style w:type="paragraph" w:styleId="548">
    <w:name w:val="toc 2"/>
    <w:basedOn w:val="557"/>
    <w:next w:val="557"/>
    <w:uiPriority w:val="39"/>
    <w:unhideWhenUsed/>
    <w:pPr>
      <w:ind w:left="283" w:right="0" w:firstLine="0"/>
      <w:spacing w:after="57"/>
    </w:pPr>
  </w:style>
  <w:style w:type="paragraph" w:styleId="549">
    <w:name w:val="toc 3"/>
    <w:basedOn w:val="557"/>
    <w:next w:val="557"/>
    <w:uiPriority w:val="39"/>
    <w:unhideWhenUsed/>
    <w:pPr>
      <w:ind w:left="567" w:right="0" w:firstLine="0"/>
      <w:spacing w:after="57"/>
    </w:pPr>
  </w:style>
  <w:style w:type="paragraph" w:styleId="550">
    <w:name w:val="toc 4"/>
    <w:basedOn w:val="557"/>
    <w:next w:val="557"/>
    <w:uiPriority w:val="39"/>
    <w:unhideWhenUsed/>
    <w:pPr>
      <w:ind w:left="850" w:right="0" w:firstLine="0"/>
      <w:spacing w:after="57"/>
    </w:pPr>
  </w:style>
  <w:style w:type="paragraph" w:styleId="551">
    <w:name w:val="toc 5"/>
    <w:basedOn w:val="557"/>
    <w:next w:val="557"/>
    <w:uiPriority w:val="39"/>
    <w:unhideWhenUsed/>
    <w:pPr>
      <w:ind w:left="1134" w:right="0" w:firstLine="0"/>
      <w:spacing w:after="57"/>
    </w:pPr>
  </w:style>
  <w:style w:type="paragraph" w:styleId="552">
    <w:name w:val="toc 6"/>
    <w:basedOn w:val="557"/>
    <w:next w:val="557"/>
    <w:uiPriority w:val="39"/>
    <w:unhideWhenUsed/>
    <w:pPr>
      <w:ind w:left="1417" w:right="0" w:firstLine="0"/>
      <w:spacing w:after="57"/>
    </w:pPr>
  </w:style>
  <w:style w:type="paragraph" w:styleId="553">
    <w:name w:val="toc 7"/>
    <w:basedOn w:val="557"/>
    <w:next w:val="557"/>
    <w:uiPriority w:val="39"/>
    <w:unhideWhenUsed/>
    <w:pPr>
      <w:ind w:left="1701" w:right="0" w:firstLine="0"/>
      <w:spacing w:after="57"/>
    </w:pPr>
  </w:style>
  <w:style w:type="paragraph" w:styleId="554">
    <w:name w:val="toc 8"/>
    <w:basedOn w:val="557"/>
    <w:next w:val="557"/>
    <w:uiPriority w:val="39"/>
    <w:unhideWhenUsed/>
    <w:pPr>
      <w:ind w:left="1984" w:right="0" w:firstLine="0"/>
      <w:spacing w:after="57"/>
    </w:pPr>
  </w:style>
  <w:style w:type="paragraph" w:styleId="555">
    <w:name w:val="toc 9"/>
    <w:basedOn w:val="557"/>
    <w:next w:val="557"/>
    <w:uiPriority w:val="39"/>
    <w:unhideWhenUsed/>
    <w:pPr>
      <w:ind w:left="2268" w:right="0" w:firstLine="0"/>
      <w:spacing w:after="57"/>
    </w:pPr>
  </w:style>
  <w:style w:type="paragraph" w:styleId="556">
    <w:name w:val="TOC Heading"/>
    <w:uiPriority w:val="39"/>
    <w:unhideWhenUsed/>
  </w:style>
  <w:style w:type="paragraph" w:styleId="557" w:default="1">
    <w:name w:val="Normal"/>
    <w:qFormat/>
  </w:style>
  <w:style w:type="character" w:styleId="558" w:default="1">
    <w:name w:val="Default Paragraph Font"/>
    <w:uiPriority w:val="1"/>
    <w:semiHidden/>
    <w:unhideWhenUsed/>
  </w:style>
  <w:style w:type="table" w:styleId="5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0" w:default="1">
    <w:name w:val="No List"/>
    <w:uiPriority w:val="99"/>
    <w:semiHidden/>
    <w:unhideWhenUsed/>
  </w:style>
  <w:style w:type="paragraph" w:styleId="561">
    <w:name w:val="List Paragraph"/>
    <w:basedOn w:val="557"/>
    <w:qFormat/>
    <w:uiPriority w:val="34"/>
    <w:rPr>
      <w:rFonts w:ascii="Calibri" w:hAnsi="Calibri" w:cs="Calibri" w:eastAsia="Calibri"/>
    </w:rPr>
    <w:pPr>
      <w:contextualSpacing w:val="true"/>
      <w:ind w:left="720"/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table" w:styleId="562">
    <w:name w:val="Table Grid"/>
    <w:basedOn w:val="559"/>
    <w:uiPriority w:val="59"/>
    <w:rPr>
      <w:rFonts w:ascii="Calibri" w:hAnsi="Calibri" w:cs="Calibri" w:eastAsia="Calibri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563">
    <w:name w:val="Hyperlink"/>
    <w:unhideWhenUsed/>
    <w:rPr>
      <w:color w:val="0563C1" w:themeColor="hyperlink"/>
      <w:u w:val="single"/>
    </w:rPr>
  </w:style>
  <w:style w:type="character" w:styleId="564" w:customStyle="1">
    <w:name w:val="rvts23"/>
    <w:basedOn w:val="558"/>
    <w:rPr>
      <w:rFonts w:cs="Times New Roman"/>
    </w:rPr>
  </w:style>
  <w:style w:type="character" w:styleId="565" w:customStyle="1">
    <w:name w:val="rvts0"/>
    <w:basedOn w:val="558"/>
  </w:style>
  <w:style w:type="character" w:styleId="566">
    <w:name w:val="Strong"/>
    <w:qFormat/>
    <w:rPr>
      <w:rFonts w:cs="Times New Roman"/>
      <w:b/>
      <w:bCs/>
    </w:rPr>
  </w:style>
  <w:style w:type="character" w:styleId="567" w:customStyle="1">
    <w:name w:val="dat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yperlink" Target="http://zakon2.rada.gov.ua/laws/show/1382-15" TargetMode="External"/><Relationship Id="rId9" Type="http://schemas.openxmlformats.org/officeDocument/2006/relationships/hyperlink" Target="http://zakon5.rada.gov.ua/laws/show/207-2016-%D0%BF" TargetMode="External"/><Relationship Id="rId10" Type="http://schemas.openxmlformats.org/officeDocument/2006/relationships/hyperlink" Target="http://zakon2.rada.gov.ua/laws/show/1382-15" TargetMode="External"/><Relationship Id="rId11" Type="http://schemas.openxmlformats.org/officeDocument/2006/relationships/hyperlink" Target="http://zakon5.rada.gov.ua/laws/show/207-2016-%D0%BF" TargetMode="External"/><Relationship Id="rId12" Type="http://schemas.openxmlformats.org/officeDocument/2006/relationships/hyperlink" Target="http://zakon3.rada.gov.ua/laws/show/796-12" TargetMode="External"/><Relationship Id="rId13" Type="http://schemas.openxmlformats.org/officeDocument/2006/relationships/hyperlink" Target="https://zakon.rada.gov.ua/go/854-2016-%D0%BF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ПРИМАКОВ Геннадій Анатолійович</cp:lastModifiedBy>
  <cp:revision>5</cp:revision>
  <dcterms:created xsi:type="dcterms:W3CDTF">2021-05-14T12:36:00Z</dcterms:created>
  <dcterms:modified xsi:type="dcterms:W3CDTF">2021-06-01T15:03:13Z</dcterms:modified>
</cp:coreProperties>
</file>