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</w:rPr>
      </w:pPr>
      <w:r/>
      <w:bookmarkStart w:id="0" w:name="_Hlk71637167"/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1 до рішення сесії Менської міської ради 8 скликання від 31.05.2020 № 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245 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«</w:t>
      </w:r>
      <w:r/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Про внесення змін до Переліку адміністративних послуг, які надаються через відділ «Центр надання адміністра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тивних послуг», затвердження Переліку адміністративних послуг, які надаються через ВРМ відділу «Центр надання адміністративних послуг» та затвердження інформаційних і технологічних карток, які надаються через відділ «Центр надання адміністративних послуг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»</w:t>
      </w:r>
      <w:r/>
      <w:r>
        <w:rPr>
          <w:rFonts w:ascii="Times New Roman" w:hAnsi="Times New Roman" w:cs="Times New Roman" w:eastAsia="Times New Roman"/>
          <w:color w:val="000000" w:themeColor="text1"/>
          <w:sz w:val="20"/>
        </w:rPr>
      </w:r>
      <w:r/>
      <w:r>
        <w:rPr>
          <w:rFonts w:ascii="Times New Roman" w:hAnsi="Times New Roman" w:cs="Times New Roman" w:eastAsia="Times New Roman"/>
          <w:color w:val="000000" w:themeColor="text1"/>
          <w:sz w:val="20"/>
        </w:rPr>
      </w:r>
      <w:r/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 </w:t>
      </w:r>
      <w:r/>
    </w:p>
    <w:tbl>
      <w:tblPr>
        <w:tblStyle w:val="562"/>
        <w:tblW w:w="10357" w:type="dxa"/>
        <w:tblInd w:w="-577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677"/>
        <w:gridCol w:w="496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szCs w:val="28"/>
              </w:rPr>
              <w:t xml:space="preserve">№ п/п</w:t>
            </w:r>
            <w:r>
              <w:rPr>
                <w:sz w:val="16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szCs w:val="28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>
              <w:rPr>
                <w:sz w:val="16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szCs w:val="28"/>
              </w:rPr>
              <w:t xml:space="preserve">Правові підстави для надання адміністративної послуги</w:t>
            </w:r>
            <w:r>
              <w:rPr>
                <w:sz w:val="16"/>
              </w:rPr>
            </w:r>
            <w:r>
              <w:rPr>
                <w:sz w:val="18"/>
              </w:rPr>
            </w:r>
          </w:p>
        </w:tc>
      </w:tr>
      <w:tr>
        <w:trPr>
          <w:trHeight w:val="109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  <w:tab w:val="left" w:pos="396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Внесення змін до записів Державного реєстру речових прав на нерухоме майно та їх обтяжень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9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Заборона вчинення реєстраційних дій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0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Державна реєстрація іншого (відмінного від права власності) речового права на нерухоме майно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1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Надання інформації з Державного реєстру речових прав на нерухоме майно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2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Взяття на облік безхазяйного нерухомого майна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3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Державна реєстрація обтяжень речових прав на нерухоме майно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4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Державна реєстрація права власності на нерухоме майно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5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16" w:history="1">
              <w:r>
                <w:rPr>
                  <w:rStyle w:val="563"/>
                  <w:rFonts w:ascii="Times New Roman" w:hAnsi="Times New Roman" w:cs="Times New Roman" w:eastAsia="Times New Roman"/>
                  <w:color w:val="000000" w:themeColor="text1"/>
                  <w:sz w:val="28"/>
                  <w:szCs w:val="28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hanging="246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Реєстрація місця проживання особи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адміністративні послуги»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порядок виїзду з України і в’їзду в Україну громадян України»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Реєстрація місця перебування особи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адміністративні послуги»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порядок виїзду з України і в’їзду в Україну громадян України»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Реєстрація місця проживання малолітньої дитини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адміністративні послуги»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порядок виїзду з України і в’їзду в Україну громадян України»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shd w:val="clear" w:color="auto" w:fill="FFFFFF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довідки про реєстрацію місця проживання особи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hyperlink r:id="rId17" w:history="1">
              <w:r>
                <w:rPr>
                  <w:rStyle w:val="563"/>
                  <w:rFonts w:ascii="Times New Roman" w:hAnsi="Times New Roman" w:cs="Times New Roman" w:eastAsia="Times New Roman"/>
                  <w:sz w:val="28"/>
                  <w:szCs w:val="28"/>
                </w:rPr>
                <w:t xml:space="preserve">Закон України «Про свободу пересування та вільний вибір місця проживання в Україні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 (абзац восьмий статті 3);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hyperlink r:id="rId18" w:history="1">
              <w:r>
                <w:rPr>
                  <w:rStyle w:val="563"/>
                  <w:rFonts w:ascii="Times New Roman" w:hAnsi="Times New Roman" w:cs="Times New Roman" w:eastAsia="Times New Roman"/>
                  <w:sz w:val="28"/>
                  <w:szCs w:val="28"/>
                </w:rPr>
                <w:t xml:space="preserve"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Внесення до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hyperlink r:id="rId19" w:history="1">
              <w:r>
                <w:rPr>
                  <w:rStyle w:val="563"/>
                  <w:rFonts w:ascii="Times New Roman" w:hAnsi="Times New Roman" w:cs="Times New Roman" w:eastAsia="Times New Roman"/>
                  <w:sz w:val="28"/>
                  <w:szCs w:val="28"/>
                </w:rPr>
                <w:t xml:space="preserve">Закон України «Про свободу пересування та вільний вибір місця проживання в Україні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 (абзац восьмий статті 3);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hyperlink r:id="rId20" w:history="1">
              <w:r>
                <w:rPr>
                  <w:rStyle w:val="563"/>
                  <w:rFonts w:ascii="Times New Roman" w:hAnsi="Times New Roman" w:cs="Times New Roman" w:eastAsia="Times New Roman"/>
                  <w:sz w:val="28"/>
                  <w:szCs w:val="28"/>
                </w:rPr>
                <w:t xml:space="preserve"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»;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будівельного паспорта забудови земельної ділянки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 в Україні» (стаття 31).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(стаття 27).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Надання містобудівних умов та обмежень забудови земельної ділянки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 в Україні» (стаття 31).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(стаття 29).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ордера на видалення зелених насаджень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благоустрій населених пунктів» від 06.09.2005 р. № 2807-IV (статті 10, 28)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Надання дозволу на порушення об’єктів благоустрою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благоустрій населених пунктів» від 06.09.2005 р. (стаття 26-1).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Отримання погодження щодо можливості розміщення тимчасової споруди  для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здійснення підприємницької діяльності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із змінами , ст.28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паспорту прив’язки тимчасової споруди для здійснення підприємницької діяльності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із змінами , ст.28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Прийняття рішення про переведення житлового будинку або житлового приміщення у нежитлові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Житловий кодекс Української РСР (статті 7, 8).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Цивільний кодекс України (статті 319, 320, 383).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від 29.11.01 р. № 2866-III «Про об’єднання співвласників багатоквартирного будинку» (стаття 26).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Надання дозволу на підключення об’єктів до централізованої системи водопостачання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(продовження дії) дозволу на розміщення зовнішньої реклами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рекламу» (стаття 16*).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Присвоєння, зміна та коригування адрес об'єктам будівництва та об’єктам нерухомого майна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 (стаття 30).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регулювання містобудівної діяльності» (стаття 263)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Надання викопіювання з топографічної зйомки (М1:2000) населених пунктів, містобудівної документації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Закони України «Про місцеве самоврядування в Україні»; «Про засади державної регуляторної політики у сфері господарської діяльності»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витягу з 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погосподарської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 книги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«Інструкція з ведення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погосподарського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обліку в сільських, селищних, міських радах», затверджена наказом Міністерства юстиції України від 11.04.2016 р. № 56</w:t>
            </w:r>
            <w:r/>
          </w:p>
        </w:tc>
      </w:tr>
      <w:tr>
        <w:trPr>
          <w:trHeight w:val="5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 на право фізичної особи на отримання доходу від податкового 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агента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 без утримання податку (3 ДФ)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Наказ Міністерства доходів і зборів України №32 від 17.01.2014 року.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  про зареєстрованих у житловому приміщенні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довідки-характеристики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 про членство в особистому селянському господарстві</w:t>
            </w:r>
            <w:r/>
          </w:p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ст. 11 Закону України "Про особисте селянське господарство".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Наказ Державної служби статистики України від 08.12.10 № 491 "Про затвердження Інструкції з ведення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погосподарського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обліку в сільських, селищних та міських радах".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Від 24.11.15 №340 «Про затвердження типових форм первинної облікової документації для сільських, селищних та міських рад».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розроблення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землеустрою щодо відведення земельної ділянки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122, 123 134 Земельного Кодексу України, стаття 22 Закону України «Про землеустрій», пункт 34 стаття 26 Закону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Затвердження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землеустрою щодо відведення або зміни цільового призначення земельної ділянки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20, 123, 186` Земельного Кодексу України, статті 22, 50 Закону України «Про землеустрій»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розробку документації  із землеустрою громадянам України з метою безоплатної приватизації земельної ділянки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12, 116, 118, 119, 120, 121, 122, 123, 186` Земельного кодексу України, статті 22, 50, 55, 56 Закону України «Про землеустрій», пункт 34 стаття 26 Закону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Продаж земельних ділянок комунальної власності іноземним державам та іноземним юридичним особам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129 Земельного кодексу України, статті 22, 50, 55, 56 Закон України «Про землеустрій», стаття 13 Закону України «Про оцінку земель»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документації із землеустрою з метою надання земельної ділянки у постійне користування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92, 122, 123, 186. Земельного кодексу України, статті 22, 50, 55, 56 Закон України «Про землеустрій»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технічної документації із землеустрою з метою передачі земельної ділянки в оренду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93, 122, 123, 124, 186 Земельний кодекс України, статті 22, 55, 56 Закону України «Про землеустрій», статті 32, 33 Закону України «Про оренду землі.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документації із землеустрою з метою передачі земельної ділянки (невитребуваної земельної частки( паю)) в оренду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93, 122, 123, 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24, 186 Земельний кодекс України, статті 22, 55, 56 Закону України «Про землеустрій», ст. 13 Закону України «Про порядок виділення в натурі (на місцевості) земельних ділянок власникам земельних часток (паїв)» статті 32, 33 Закону України «Про оренду землі.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 по передачі у приватну власність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Законом України «Про порядок виділення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в натурі (на місцевості) земельних ділянок  власникам земельних часток (паїв)» та п. 34 ч. 1 ст. 26 Закону України «Про місцеве самоврядування в Україні», статті 12, 116, 118, 121, 126 Земельного кодексу України; ст. 25, 55 Закон України «Про землеустрій»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Затвердження документації із землеустрою з метою передачі невитребуваних земельних ділянок (паїв) в оренду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ст.13 Закону України «Про порядок виділення в натурі (на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місцевості) земельних ділянок власникам земельних часток (паїв)», ст. 25, 55 Закон України «Про землеустрій» п. 34 ч. 1 ст. 26 Закону України «Про місцеве самоврядування в Україні» статті 32, 33 Закону України «Про оренду землі»; Податковий кодекс України.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документації із землеустрою з метою передачі земельної ділянки в постійне користування або у власність співвласникам багатоквартирного будинку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59, 92, 116, 122, 123, 186`, 42, 92 Земельного Кодексу України,. статті 22, 50, 55, 56 Закон України «Про землеустрій»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розроблення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землеустрою щодо відведення земельної ділянки з метою її продажу громадянам, юридичним особам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128 Земельного кодексу України, статті 22, 50, 55, 56 Закон України «Про землеустрій», стаття 13 Закон України «Про оцінку земель»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укладення договору оренди землі на новий строк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93, 122, 134 Земельного кодексу України, ст. 26 Закону України «Про місцеве самоврядування в Україні», ст.33 Закону України «Про оренду землі»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Внесення змін до договорів оренди землі за ініціативою орендаря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 Земельний кодекс України, статті 30 Закону України «Про оренду землі»; Податковий кодекс України.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Припинення договору оренди землі за ініціативою орендаря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 Земельний кодекс України, статті 31, 32, 321, 34 Закону України «Про оренду землі», Податковий кодекс України.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bookmarkStart w:id="1" w:name="_Hlk69379165"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згоди на поділ та об’єднання земельних ділянок комунальної власності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12, 87, 91, 110, 116, 118, 120, 121, 122, 186 Земельний кодекс України, статті 19, 22, 56 Закону України «Про землеустрій»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Продаж земельних ділянок комунальної власності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Стаття 127,128 Земельного кодексу України, статті 22, 50, 55, 56 Закон України «Про землеустрій», стаття 13 Закону України «Про оцінку земель»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Затвердження документації із землеустрою з метою передачі земельної (-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 ділянки (-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 в оренду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Стаття 127, 128 Земельного кодексу України, статті 22, 50, 55, 56 Закон України «Про землеустрій», стаття 13 Закону України «Про оцінку земель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123 Земельний Кодекс України; ст. 266 Податковий кодекс України, ст. 25, 55 Закон України «Про землеустрій», Законом України «Про порядок виділення в натурі (на місцевості) земельних ділянок власникам земельних часток (паїв)»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 внесення змін та доповнень до рішення сесії Менської міської ради з метою врегулювання земельних питань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12 Земельного кодексу України, п.34 ст.26 Закону України 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передачу в оренду земельної (-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) ділянки (-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ок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)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ст.ст.12, 93, 122, 134  Земельного кодексу України, Закон України «Про землеустрій», Закон України «Про оренду землі», п.34 ст. 26 Закону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надання дозволу на виготовлення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проєктної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 документації із землеустрою щодо зміни цільового призначення земельної ділянки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20, 122 Земельного кодексу України, Закон України «Про землеустрій», п.34 ст. 26 Закону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надання дозволу на виготовлення технічної документації із землеустрою щодо поділу  земельної ділянки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79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 122 Земельного кодексу України, Закон України «Про землеустрій», п.34 ст. 26 Закону України «Про місцеве самоврядування в Україні»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надання дозволу на виготовлення технічної документації із землеустрою щодо об’єднання  земельних ділянок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79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, 122 Земельного кодексу України, Закон України «Про землеустрій», п.34 ст. 26 Закону України «Про місцеве самоврядування в Україні»</w:t>
            </w:r>
            <w:bookmarkEnd w:id="1"/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України; Цивільний процесуальний кодекс України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дозволу опікуну на вчинення правочинів щодо: відмови від майнових прав підопічного; видання письмових зобов’язань від іме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оформлення документації щодо відведення земельної ділянки у власність дитини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охорону дитинства».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Закону України «Про основи соціального захисту бездомних осіб і безпритульних дітей».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Сімейний Кодекс України.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висновку (рішення) виконавчого комітету про визначення місця проживання дитини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“Про органи і служби у справах дітей та спеціальні установи для дітей”.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Сімейний Кодекс України.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вчинення правочину щодо нерухомого майна, право власності на яке або право користування на яке має дитина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охорону дитинства»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Сімейний Кодекс України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24.09.2008р. №866»;Питання діяльності органу опіки та піклування, пов’язаної з захистом прав дитини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Прийняття рішення щодо соціального обслуговування громадянина  КУ «Територіальний центр соціального обслуговування (надання соціальних послуг)»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Закони України „Про соціальні послуги” від 17.01.2019 № 2671-VIII; „Про основні засади соціального захисту ветеранів праці та інших громадян похилого віку в Україні” від 16.12.1993 № 3721-XII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свідоцтва про право власності на житло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«Про приватизацію державного житлового фонду», «Про забезпечення реалізації житлових прав мешканців гуртожитків», «Про внесення змін до деяких законодавчих актів України щодо забезпечення реалізації житлових прав мешканців гуртожитків»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довідки про перебування на квартирному обліку за місцем вимоги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Правила обліку громадян, як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і потребують поліпшення житлових умов, і надання їм жилих приміщень в Українській РСР, затверджені постановою Ради Міністрів Української РСР і Української республіканської ради професійних спілок від 11 грудня  1984 року № 470 (із змінами та доповненнями)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Взяття на квартирний облік громадян, які потребують поліпшення житлових умов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Правила обліку громадян, які потребують поліпшення житлових умов, і надання їм Постанова Ради Міністрів Української РСР від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4 лютого 1988 р. №37 «Про службові жилі приміщення» 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грудня  1984 року № 470 (із змінами та доповненнями)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ордера на службове жиле приміщення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, Постанова Ради Міністрів Української РСР від 4 лютого 1988 р. №37 «Про службові жилі приміщення»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створення юридичної особи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змін до відомостей про юридичну особу, що містяться в Єдиному державному реєстрі юридичних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осіб, фізичних осіб - підприємців та громадських формувань, у тому числі змін до установчих документів юридичної особи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переходу юридичної особи на діяльність на підставі модельного статуту (крім громадського формування)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переходу юридичної особи з модельного статуту на діяльність на підставі власного установчого документа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включ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ення відомостей про юридичну особу (крім громадських формувань),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та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рішення про виділ юридичної особи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рішення про припинення юридичної особи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рішення про відміну рішення про припинення юридичної особи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зміни складу комісії з припинення (комісії з реорганізації, ліквідаційної комісії), юридичної особи (крім громадських формувань)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припинення юридичної особи (крім громадських формувань) в результаті її реорганізації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припинення юридичної особи (крім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громадських формувань) в результаті її ліквідації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створення відокремленого підрозділу юридичної особи (крім громадських формувань)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змін до відомостей про відокремлений підрозділ юридичної особи (крім громадських формувань), що містяться в Єдиному державному реєстрі юридичних осіб, фізичних осіб-підприємців та громадських формувань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припинення відокремленого підрозділу юридичної особи(крім громадських формувань)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фізичної особи - підприємця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Державна реєстрація припинення підприємницької діяльності фізичної особи – підприємця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Надання відомостей з Єдиного державного реєстру юридичних осіб, фізичних осіб – підприємців та громадських формувань (витяг з Єдиного державного реєстру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юридичних осіб , фізичних осіб-підприємців та громадських формувань)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ru-RU"/>
              </w:rPr>
              <w:t xml:space="preserve">Надання відомостей з Державного земельного кадастру у формі витягів з Державного земельного кадастру про земельну ділянку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кадастр», </w:t>
            </w:r>
            <w:hyperlink r:id="rId21" w:history="1">
              <w:r>
                <w:rPr>
                  <w:rStyle w:val="56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Закон 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«Про державну реєстрацію речових прав на нерухоме майно та їх обтяжень»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довідок, що містять узагальнену інформацію про землі (території)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викопіювань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картографічної основи Державного земельного кадастру кадастрової карти (плану)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contextualSpacing w:val="true"/>
              <w:jc w:val="both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ведення,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витягу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Видача довідки про наявність та розмір земельної частки (паю),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Земельний кодекс України, Закон України «Про державну соціальну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допомогу малозабезпеченим сім’ям».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32 Закону України “Про Державний земельний кадастр”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Внесення до Державного земельного кадастру відомостей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(змін до них) про земельну ділянку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витягу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Стаття 21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до Державного земельного кадастру відомостей (змін до них)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землі в межах території адміністративно-територіальних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одиниць,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витягу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32 Закону України “Про Державний земельний кадастр”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tabs>
                <w:tab w:val="center" w:pos="4875" w:leader="none"/>
                <w:tab w:val="left" w:pos="774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Державна реєстрація земельної ділянки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витягу з Державного земельного кадастру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Стаття 24 Закону України “Про Державний земельний кадастр”.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обмежень у використанні земель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Стаття 28 Закону України «Про Державний земельний кадастр».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Видача витягу з технічної документації про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нормативну грошову оцінку земельної ділянки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Статті 20, 23 Закону України «Про оцінку земель».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Видача висновку про погодження документації із землеустрою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Статті 186, 186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Земельного кодексу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contextualSpacing w:val="true"/>
              <w:jc w:val="both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відомостей з документації із землеустрою, що включена до державного фонду документації із землеустрою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Статті 32, 33 Закону України «Про землеустрій».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обовязкової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експертизи землевпорядної документації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експертизу землевпорядної документації»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Надання субсидії для відшкодування витрат на оплату житлово-комунальних послуг,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придбання скрапленого газу, твердого та рідкого пічного побутового палива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житлово-комунальні послуги”      від 09.11.2017 № 2189-VIII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Положення про порядок призначення житлових субсидій, затверджене постановою Кабінету Міністрів України від 21.10.1995 № 848 (зі змінами) (далі – Положення)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пільги на придбання палива, у тому числі рідкого, скрапленого балонного газу для побутових потреб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Бюджетний кодекс України, Закони України „Про статус ветеранів війни, гарантії їх соціального захисту” від 22.10.1993 № 3551-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жертви нацис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№ 3721-ХІІ, „Про статус і соціальний захист громадян, які постраждали внаслідок Чорнобильсько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ї катастрофи” від 28.02.1991 № 796-ХІІ,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освіту” від 05.09.2017 № 2145-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бібліотеки і бібліотечну справу” від 27.01.1995 № 32/95-ВР, „Про захист рослин” від 14.10.1998 № 180-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охорону дитинства” від 26.04.2001 № 2402-ІІІ, „Про культуру” від 14.12.2010 № 2778-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Основи законодавства України про охорону здоров’я від 19.11.1992 № 2801-ХІІ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пільги на оплату житла, комунальних послуг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Бюджетний кодекс України, Закони України „Про статус ветеранів війни, гарантії їх соціального захисту” від 22.10.1993 № 3551-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1917–1991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роківˮ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17.04.1991 № 962-ХІІ, „Про соціальний і правовий захист військовослужбовців та членів їх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сімейˮ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Україниˮ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25.03.1992 № 2229-ХІІ, „Про освіту” від 05.09.2017 № 2145-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бібліотеки і бібліотечну справу” від 27.01.1995 № 32/95-ВР, „Про захист рослин” від 14.10.1998 № 180-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музеї та музейну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справуˮ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29.06.1995 № 249/95-ВР, „Про соціальний захист дітей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війниˮ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18.11.2004 № 2195-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охорону дитинства” від 26.04.2001 № 2402-ІІІ, „Про відновлення прав осіб, депортованих за національною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ознакоюˮ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17.04.2014     № 1223-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ІІ, „Про культуру” від 14.12.2010 № 2778-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Основи законодавства України про охорону здоров’я від 19.11.1992 № 2801-ХІІ, Кодекс цивільного захисту України від 02.10.2012 № 5403-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39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Сімейний кодекс України від 10.01.2002 № 2947-ІІІ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22.02.2006 № 189 „Про затвердження Порядку призначення та виплати тимчасової державної допомоги дітям, батьки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яких ухиляються від сплати аліментів, не мають можливості утримувати дитину або місце проживання їх невідо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ме”; Порядок обчислення середньомісячного сукупного доходу сім’ї (домогосподарства) для усіх видів державної соціальної допомоги, затверджений постановою Кабінету Міністрів України від 22.07.2020 № 632 „Деякі питання виплати державної соціальної допомоги”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одноразової винагороди жінкам, яким присвоєно почесне звання України „Мати-героїня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”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 Президента України від 25.12.2007 № 1254 „Про одноразову винагороду жінкам, яким присвоєно почесне звання України „Мати-героїня”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для отримання пільг особам з інвалідністю, які не мають права на пенсію чи соціальну допомогу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” від 21.03.1991 № 875-XII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соціальної допомоги малозабезпеченим сім’ям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соціальну допомогу малозабезпеченим сім’ям” від 01.06.2000 № 1768- ІІІ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допомоги у зв’язку з вагітністю та пологами жінкам, які не застраховані в системі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загальнообов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язкового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 державного соціального страхування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 2811-ХІІ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0" w:firstLine="39"/>
              <w:jc w:val="center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допомоги при народженні дитини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одноразової натуральної допомоги „пакунок малюка”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25.11.2020 № 1180 „Деякі питання надання при народженні дитини одноразової натуральної допомоги „пакунок малюка”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допомоги при усиновленні дитини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допомоги на дітей, над якими встановлено опіку чи піклування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допомоги на дітей одиноким матерям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допомоги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одному з батьків,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усиновлювачам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, опікунам, піклувальникам, одному з прийомних батьків, батькам-вихователям, які доглядають за хворою дитиною, якій не встановлено інвалідність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допомоги на дітей, які виховуються у багатодітних сім’ях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охорону дитинства” від 26.04.2001 № 2402-ІІI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соціальної допомоги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особам з інвалідністю з дитинства або дітям з 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 16.11.2000 № 2109-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надбавки на догляд за особами з інвалідністю з дитинства та дітьми з 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 16.11.2000 № 2109-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соціальної допомоги особам, які не мають права на пенсію, та особам з 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України „Про державну соціальну допомогу особам, які не мають права на пенсію, та особам з інвалідністю” від 18.05.2004 № 1727-IV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державної соціальної допомоги на догляд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України „Про державну соціальну допомогу особам, які не мають права на пенсію, та особам з інвалідністю” від 18.05.2004 № 1727-IV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соціальні послуги” від 17.01.2019 № 2671-VIII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23.09.2020 № 859 „Деякі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загальнообов’язкове державне пенсійне страхування” від 09.07.2003 № 1058-IV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27.12.2017 № 1098 „Про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изначення грошової допомоги особі, яка проживає разом з особою з інвалідністю i або ii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психіатричну допомогу”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від 22.02.2000 № 1489- IІІ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02.08.2000 № 1192 „Про надання щомісячної грошової до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5"/>
                <w:rFonts w:ascii="Times New Roman" w:hAnsi="Times New Roman" w:cs="Times New Roman"/>
                <w:sz w:val="28"/>
                <w:szCs w:val="28"/>
              </w:rPr>
              <w:t xml:space="preserve">Призначення одноразової грошової / матеріальної допомоги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особам з інвалідністю та дітям з 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Україні” від 21.03.1991 № 875-XII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12.04.2017 № 256 „Деякі питання використання коштів державного бюджету для виконання заходів із соціального захисту дітей, сімей, жінок та інших найбільш вразливих категорій населення”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одноразової компенсації дружинам (чоловікам), якщо та (той) не одружилися вдруге, померлих гро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компенсацій та допомоги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до категорій 1 або 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вартості проїзду до санаторно-курортного закладу і назад особам з інвалідністю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внаслідок війни та прирівняним до них особам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ветеранів війни, гарантії їх соціального захисту” від 22.10.1993 № 3551-ХІІ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особам з інвалідністю замість санаторно-курортної путівки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реабілітацію осіб з інвалідністю в Україні” від 06.10.2005 № </w:t>
            </w:r>
            <w:r>
              <w:rPr>
                <w:rStyle w:val="566"/>
                <w:rFonts w:ascii="Times New Roman" w:hAnsi="Times New Roman"/>
                <w:sz w:val="28"/>
                <w:szCs w:val="28"/>
              </w:rPr>
              <w:t xml:space="preserve">2961-IV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спинального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Україні” від 21.03.1991 № 875-ХІІ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вартості самостійного санаторно-курортного лікування осіб з 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реабілітацію осіб з інвалідністю в Україні” від 06.10.2005 № 2961-IV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hyperlink r:id="rId22" w:history="1"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Закон України „Про статус і соціальний захист громадян, які постраждали внаслідок Чорнобильської катастрофи” 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28.02.1991 № </w:t>
            </w:r>
            <w:hyperlink r:id="rId23" w:history="1">
              <w:r>
                <w:rPr>
                  <w:rStyle w:val="563"/>
                  <w:rFonts w:ascii="Times New Roman" w:hAnsi="Times New Roman" w:cs="Times New Roman"/>
                  <w:bCs/>
                  <w:sz w:val="28"/>
                  <w:szCs w:val="28"/>
                </w:rPr>
                <w:t xml:space="preserve">796-ХІІ</w:t>
              </w:r>
            </w:hyperlink>
            <w:r/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Призначення грошової компенсації особам з інвалідністю на бензин, ремонт і технічне обслуговування автомобілів та на транспортне обслуговування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Закони України ,,Про реабілітацію осіб з інвалідністю в Україні”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06.10.2005 № 2961-IV, ,,Про гуманітарну допомогу”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22.10.1999 № 1192-XIV, ,,Про основи соціальної захищеності осіб з інвалідністю в Україні”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21.03.1991 № 875-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статус ветеранів війни, гарантії соціального захисту” від 22.10.1993 № 3551-ХІІ, „Про жертви нацистських переслідувань” від 23.03.2000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 1584-ІІІ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Закон України ,,Про реабілітацію осіб з інвалідністю в Україні”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06.10.2005 № 2961-IV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Закони України ,,Про реабілітацію осіб з інвалідністю в Україні”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06.10.2005 № 2961-IV, ,,Про гуманітарну допомогу”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22.10.1999 № 1192-XIV, ,,Про основи соціальної захищеності осіб з інвалідністю в Україні”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від 21.03.1991 № 875-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направлення на забезпечення технічними та іншими засобами реабілітації осіб з інвалідністю та дітей з 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Закони України „Про основи соціальної захищеності осіб з інвалідністю в Україні” від 21.03.1991 № 875-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„Про реабілітацію осіб з інвалідністю в Україні” від 19.12.2017 № 2249-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Установлення статусу, видача посвідчень батькам багатодітної сім’ї та дитини з багатодітної сім’ї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Закони України „Про охорону дитинства” від 26.04.2001 № 2402-ІІІ 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28.02.1991 № 796-XII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посвідчень особам з інвалідністю та особам з інвалідністю з дитинства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Закони України „Про державну соціальну допомогу особам з інвалідністю з дитинства та дітям з інвалідністю” від 16.11.2000 № 2109-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ІІ, „Про державну соціальну допомогу особам, які не мають права на пенсію, та особам з інвалідністю” від 18.05.2004 № 1727-І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Установлення статусу, видача посвідчень ветеранам праці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 основні засади соціального захисту ветеранів праці та інших громадян похилого віку в Україні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” від </w:t>
            </w:r>
            <w:r>
              <w:rPr>
                <w:rStyle w:val="567"/>
                <w:rFonts w:ascii="Times New Roman" w:hAnsi="Times New Roman" w:cs="Times New Roman"/>
                <w:bCs/>
                <w:sz w:val="28"/>
                <w:szCs w:val="28"/>
              </w:rPr>
              <w:t xml:space="preserve">16.12.1993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№ </w:t>
            </w:r>
            <w:r>
              <w:rPr>
                <w:rStyle w:val="566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3721-XII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Установлення статусу, видача посвідчень жертвам нацистських переслідувань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жертви нацистських переслідувань”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від 23.03.2000 № 1584-III (далі – Закон)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Взяття на облік для забезпечення санаторно-курортним лікуванням (путівками) осіб з інвалідністю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Україні” від 21.03.1991 № 875-ХІІ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статус ветеранів війни, гарантії соціального захисту” від 22.10.1993 № 3551-ХІІ, „Про жертви нацистських переслідувань” від 23.03.2000 № 1584-ІІІ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796-ХІІ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/>
                <w:bCs/>
                <w:sz w:val="28"/>
                <w:szCs w:val="28"/>
              </w:rPr>
              <w:t xml:space="preserve"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забезпечення прав і свобод внутрішньо переміщених осіб” від 20.10.2014 № 1706-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VII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01.10.2014 № 505 „Про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дозволу на виконання робіт підвищеної небезпеки та/або на експлуатацію (застосування)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Анулювання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дозволу на виконання робіт підвищеної небезпеки та/або на експлуатацію (застосування)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Реєстрація декларації відповідності матеріально-технічної бази вимогам законодавства з питань охорони праці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одноразової грошової матеріальної допомоги жителям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Менської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пільг хворим з хронічною нирковою недостатністю, що отримують програмний гемодіаліз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Бюджетний кодекс України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Законами України: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місцеве самоврядування в Україні”;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основи соціальної захищеності осіб з інвалідністю в Україні”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матеріальної допомоги учасникам АТО/ООС та членам їх сімей, сім’ям загиблих учасників АТО/ООС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пільг на житлово-комунальні послуги, тверде паливо та скраплений газ особам з інвалідністю по зору і та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ін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гр., сім’ям загиблих воїнів-інтернаціоналістів та сім’ям загиблих(померлих) учасників антитерористичної операції, операції об’єднаних сил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Бюджетний кодекс України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Законами України: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місцеве самоврядування в Україні”;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статус ветеранів війни, гарантії їх соціального захисту”;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основи соціальної захищеності осіб з інвалідністю в Україні”</w:t>
            </w:r>
            <w:r/>
          </w:p>
        </w:tc>
      </w:tr>
      <w:tr>
        <w:trPr>
          <w:trHeight w:val="118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/>
            <w:bookmarkStart w:id="2" w:name="_Hlk71800192"/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Надання одноразової грошової допомоги при народженні дитини жителям Менської міської територіальної громади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bookmarkEnd w:id="2"/>
            <w:r/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ind w:left="39" w:hanging="39"/>
              <w:jc w:val="center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Надання матеріальної допомоги на поховання деяких категорій громадян Менської міської територіальної громади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їни», Закон України «Про поховання та похоронну справу», постанова КМУ від 31.01.2007 №99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</w:t>
            </w:r>
            <w:r/>
          </w:p>
        </w:tc>
      </w:tr>
    </w:tbl>
    <w:p>
      <w:r/>
      <w:r/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7"/>
    <w:next w:val="557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58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7"/>
    <w:next w:val="557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58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7"/>
    <w:next w:val="557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58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58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58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58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7"/>
    <w:next w:val="55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58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58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7"/>
    <w:next w:val="557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58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7"/>
    <w:next w:val="557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58"/>
    <w:link w:val="407"/>
    <w:uiPriority w:val="10"/>
    <w:rPr>
      <w:sz w:val="48"/>
      <w:szCs w:val="48"/>
    </w:rPr>
  </w:style>
  <w:style w:type="paragraph" w:styleId="409">
    <w:name w:val="Subtitle"/>
    <w:basedOn w:val="557"/>
    <w:next w:val="557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58"/>
    <w:link w:val="409"/>
    <w:uiPriority w:val="11"/>
    <w:rPr>
      <w:sz w:val="24"/>
      <w:szCs w:val="24"/>
    </w:rPr>
  </w:style>
  <w:style w:type="paragraph" w:styleId="411">
    <w:name w:val="Quote"/>
    <w:basedOn w:val="557"/>
    <w:next w:val="557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7"/>
    <w:next w:val="557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58"/>
    <w:link w:val="415"/>
    <w:uiPriority w:val="99"/>
  </w:style>
  <w:style w:type="paragraph" w:styleId="417">
    <w:name w:val="Footer"/>
    <w:basedOn w:val="557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58"/>
    <w:link w:val="417"/>
    <w:uiPriority w:val="99"/>
  </w:style>
  <w:style w:type="table" w:styleId="419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List Paragraph"/>
    <w:basedOn w:val="557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562">
    <w:name w:val="Table Grid"/>
    <w:basedOn w:val="559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63">
    <w:name w:val="Hyperlink"/>
    <w:unhideWhenUsed/>
    <w:rPr>
      <w:color w:val="0563C1" w:themeColor="hyperlink"/>
      <w:u w:val="single"/>
    </w:rPr>
  </w:style>
  <w:style w:type="character" w:styleId="564" w:customStyle="1">
    <w:name w:val="rvts23"/>
    <w:basedOn w:val="558"/>
    <w:rPr>
      <w:rFonts w:cs="Times New Roman"/>
    </w:rPr>
  </w:style>
  <w:style w:type="character" w:styleId="565" w:customStyle="1">
    <w:name w:val="rvts0"/>
    <w:basedOn w:val="558"/>
  </w:style>
  <w:style w:type="character" w:styleId="566">
    <w:name w:val="Strong"/>
    <w:qFormat/>
    <w:rPr>
      <w:rFonts w:cs="Times New Roman"/>
      <w:b/>
      <w:bCs/>
    </w:rPr>
  </w:style>
  <w:style w:type="character" w:styleId="567" w:customStyle="1">
    <w:name w:val="dat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hyperlink" Target="http://search.ligazakon.ua/l_doc2.nsf/link1/T041952.html" TargetMode="External"/><Relationship Id="rId10" Type="http://schemas.openxmlformats.org/officeDocument/2006/relationships/hyperlink" Target="http://search.ligazakon.ua/l_doc2.nsf/link1/T041952.html" TargetMode="External"/><Relationship Id="rId11" Type="http://schemas.openxmlformats.org/officeDocument/2006/relationships/hyperlink" Target="http://search.ligazakon.ua/l_doc2.nsf/link1/T041952.html" TargetMode="External"/><Relationship Id="rId12" Type="http://schemas.openxmlformats.org/officeDocument/2006/relationships/hyperlink" Target="http://search.ligazakon.ua/l_doc2.nsf/link1/T041952.html" TargetMode="External"/><Relationship Id="rId13" Type="http://schemas.openxmlformats.org/officeDocument/2006/relationships/hyperlink" Target="http://search.ligazakon.ua/l_doc2.nsf/link1/T041952.html" TargetMode="External"/><Relationship Id="rId14" Type="http://schemas.openxmlformats.org/officeDocument/2006/relationships/hyperlink" Target="http://search.ligazakon.ua/l_doc2.nsf/link1/T041952.html" TargetMode="External"/><Relationship Id="rId15" Type="http://schemas.openxmlformats.org/officeDocument/2006/relationships/hyperlink" Target="http://search.ligazakon.ua/l_doc2.nsf/link1/T041952.html" TargetMode="External"/><Relationship Id="rId16" Type="http://schemas.openxmlformats.org/officeDocument/2006/relationships/hyperlink" Target="http://search.ligazakon.ua/l_doc2.nsf/link1/T041952.html" TargetMode="External"/><Relationship Id="rId17" Type="http://schemas.openxmlformats.org/officeDocument/2006/relationships/hyperlink" Target="http://zakon2.rada.gov.ua/laws/show/1382-15" TargetMode="External"/><Relationship Id="rId18" Type="http://schemas.openxmlformats.org/officeDocument/2006/relationships/hyperlink" Target="http://zakon5.rada.gov.ua/laws/show/207-2016-%D0%BF" TargetMode="External"/><Relationship Id="rId19" Type="http://schemas.openxmlformats.org/officeDocument/2006/relationships/hyperlink" Target="http://zakon2.rada.gov.ua/laws/show/1382-15" TargetMode="External"/><Relationship Id="rId20" Type="http://schemas.openxmlformats.org/officeDocument/2006/relationships/hyperlink" Target="http://zakon5.rada.gov.ua/laws/show/207-2016-%D0%BF" TargetMode="External"/><Relationship Id="rId21" Type="http://schemas.openxmlformats.org/officeDocument/2006/relationships/hyperlink" Target="https://zakon.rada.gov.ua/laws/show/1952-15" TargetMode="External"/><Relationship Id="rId22" Type="http://schemas.openxmlformats.org/officeDocument/2006/relationships/hyperlink" Target="http://zakon3.rada.gov.ua/laws/show/796-12" TargetMode="External"/><Relationship Id="rId23" Type="http://schemas.openxmlformats.org/officeDocument/2006/relationships/hyperlink" Target="https://zakon.rada.gov.ua/go/854-2016-%D0%BF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5</cp:revision>
  <dcterms:created xsi:type="dcterms:W3CDTF">2021-05-14T12:33:00Z</dcterms:created>
  <dcterms:modified xsi:type="dcterms:W3CDTF">2021-06-01T15:01:34Z</dcterms:modified>
</cp:coreProperties>
</file>