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szCs w:val="28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</w:r>
      <w:r>
        <w:rPr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Cs w:val="28"/>
        </w:rPr>
      </w:r>
      <w:r/>
    </w:p>
    <w:p>
      <w:pPr>
        <w:jc w:val="center"/>
        <w:spacing w:lineRule="auto" w:line="240"/>
      </w:pPr>
      <w:r>
        <w:rPr>
          <w:b/>
          <w:color w:val="000000"/>
          <w:sz w:val="28"/>
        </w:rPr>
        <w:t xml:space="preserve">Україна</w:t>
      </w:r>
      <w:r/>
    </w:p>
    <w:p>
      <w:pPr>
        <w:jc w:val="center"/>
        <w:spacing w:lineRule="auto" w:line="240"/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lineRule="auto" w:line="240"/>
        <w:outlineLvl w:val="0"/>
      </w:pPr>
      <w:r>
        <w:rPr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spacing w:lineRule="auto" w:line="240"/>
      </w:pPr>
      <w:r>
        <w:rPr>
          <w:b/>
          <w:color w:val="000000"/>
          <w:sz w:val="28"/>
        </w:rPr>
        <w:t xml:space="preserve">(четверта сесія восьмого скликання) </w:t>
      </w:r>
      <w:r/>
    </w:p>
    <w:p>
      <w:pPr>
        <w:jc w:val="center"/>
        <w:spacing w:lineRule="auto" w:line="240"/>
      </w:pPr>
      <w:r>
        <w:rPr>
          <w:b/>
          <w:color w:val="000000"/>
          <w:spacing w:val="60"/>
          <w:sz w:val="28"/>
        </w:rPr>
        <w:t xml:space="preserve">РІШЕННЯ</w:t>
      </w:r>
      <w:r/>
      <w:r>
        <w:rPr>
          <w:rFonts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/>
        <w:widowControl w:val="off"/>
        <w:tabs>
          <w:tab w:val="left" w:pos="4535" w:leader="none"/>
          <w:tab w:val="left" w:pos="6946" w:leader="none"/>
        </w:tabs>
        <w:rPr>
          <w:sz w:val="28"/>
          <w:szCs w:val="28"/>
        </w:rPr>
      </w:pPr>
      <w:r>
        <w:rPr>
          <w:rFonts w:cs="Mangal" w:eastAsia="Lucida Sans Unicode"/>
          <w:sz w:val="28"/>
          <w:szCs w:val="28"/>
          <w:lang w:bidi="hi-IN" w:eastAsia="hi-IN"/>
        </w:rPr>
        <w:t xml:space="preserve">26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cs="Mangal" w:eastAsia="Lucida Sans Unicode"/>
          <w:sz w:val="28"/>
          <w:szCs w:val="28"/>
          <w:lang w:bidi="hi-IN" w:eastAsia="hi-IN"/>
        </w:rPr>
        <w:t xml:space="preserve">березня 2021 року </w:t>
        <w:tab/>
      </w:r>
      <w:r>
        <w:rPr>
          <w:rFonts w:cs="Mangal" w:eastAsia="Lucida Sans Unicode"/>
          <w:sz w:val="28"/>
          <w:szCs w:val="28"/>
          <w:lang w:bidi="hi-IN" w:eastAsia="hi-IN"/>
        </w:rPr>
        <w:t xml:space="preserve">№</w:t>
      </w:r>
      <w:r>
        <w:rPr>
          <w:rFonts w:cs="Mangal" w:eastAsia="Lucida Sans Unicode"/>
          <w:sz w:val="28"/>
          <w:szCs w:val="28"/>
          <w:lang w:val="ru-RU" w:bidi="hi-IN" w:eastAsia="hi-IN"/>
        </w:rPr>
        <w:t xml:space="preserve"> 90</w:t>
      </w:r>
      <w:r>
        <w:rPr>
          <w:sz w:val="28"/>
          <w:szCs w:val="28"/>
        </w:rPr>
        <w:t xml:space="preserve"> </w:t>
      </w:r>
      <w:r/>
    </w:p>
    <w:p>
      <w:pPr>
        <w:spacing w:lineRule="auto" w:line="240"/>
        <w:widowControl w:val="off"/>
        <w:tabs>
          <w:tab w:val="left" w:pos="6946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sz w:val="28"/>
          <w:szCs w:val="28"/>
        </w:rPr>
      </w:r>
      <w:r/>
    </w:p>
    <w:p>
      <w:pPr>
        <w:ind w:left="0" w:right="5670" w:firstLine="0"/>
        <w:jc w:val="both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погодження тарифів </w:t>
      </w:r>
      <w:r>
        <w:rPr>
          <w:b/>
          <w:sz w:val="28"/>
          <w:szCs w:val="28"/>
        </w:rPr>
        <w:t xml:space="preserve">на платні стоматологічні послуги, </w:t>
      </w:r>
      <w:r>
        <w:rPr>
          <w:b/>
          <w:sz w:val="28"/>
          <w:szCs w:val="28"/>
        </w:rPr>
        <w:t xml:space="preserve">що надаються </w:t>
      </w:r>
      <w:r>
        <w:rPr>
          <w:b/>
          <w:sz w:val="28"/>
          <w:szCs w:val="28"/>
        </w:rPr>
        <w:t xml:space="preserve">К</w:t>
      </w:r>
      <w:r>
        <w:rPr>
          <w:b/>
          <w:sz w:val="28"/>
          <w:szCs w:val="28"/>
        </w:rPr>
        <w:t xml:space="preserve">НП</w:t>
      </w:r>
      <w:r>
        <w:rPr>
          <w:b/>
          <w:sz w:val="28"/>
          <w:szCs w:val="28"/>
        </w:rPr>
        <w:t xml:space="preserve"> «М</w:t>
      </w:r>
      <w:r>
        <w:rPr>
          <w:b/>
          <w:sz w:val="28"/>
          <w:szCs w:val="28"/>
        </w:rPr>
        <w:t xml:space="preserve">енська міська лікарня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Менської міської ради</w:t>
      </w:r>
      <w:r>
        <w:rPr>
          <w:b/>
          <w:sz w:val="28"/>
          <w:szCs w:val="28"/>
        </w:rPr>
        <w:t xml:space="preserve"> </w:t>
      </w:r>
      <w:r/>
    </w:p>
    <w:p>
      <w:pPr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 xml:space="preserve">Постанов Кабінету Міністрів України від 25 грудня 1996 року №1548 «Про встановлення повноважень органів виконавчої влади та виконавчих органів міських рад щодо регулювання цін (</w:t>
      </w:r>
      <w:r>
        <w:rPr>
          <w:sz w:val="28"/>
          <w:szCs w:val="28"/>
        </w:rPr>
        <w:t xml:space="preserve">тарифів)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(зі змінами та доповненнями), від 27 лютого 2019 року №134 «Про внесення змін до деяких постанов КМУ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від 17 вересня 1996 року №1138 «Про затвердження переліку платних послуг, які надаються в державних закладах охорони здоров’я та вищих медичних закла</w:t>
      </w:r>
      <w:r>
        <w:rPr>
          <w:sz w:val="28"/>
          <w:szCs w:val="28"/>
        </w:rPr>
        <w:t xml:space="preserve">дах освіт</w:t>
      </w:r>
      <w:r>
        <w:rPr>
          <w:sz w:val="28"/>
          <w:szCs w:val="28"/>
        </w:rPr>
        <w:t xml:space="preserve">и» (зі змінами і доповненнями), </w:t>
      </w:r>
      <w:r>
        <w:rPr>
          <w:sz w:val="28"/>
          <w:szCs w:val="28"/>
        </w:rPr>
        <w:t xml:space="preserve">керуючись ст.26 Закону України “Про місцеве самоврядування в Україні”, Менська міська рада</w:t>
      </w:r>
      <w:r/>
    </w:p>
    <w:p>
      <w:pPr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>
        <w:rPr>
          <w:b/>
        </w:rPr>
      </w:r>
    </w:p>
    <w:p>
      <w:pPr>
        <w:ind w:firstLine="709"/>
        <w:jc w:val="both"/>
        <w:spacing w:lineRule="auto" w:line="24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Погодити тарифи на платні стоматологічні послуги, що надаються</w:t>
      </w:r>
      <w:r>
        <w:rPr>
          <w:sz w:val="28"/>
          <w:szCs w:val="28"/>
        </w:rPr>
        <w:t xml:space="preserve"> Комунальним </w:t>
      </w:r>
      <w:r>
        <w:rPr>
          <w:sz w:val="28"/>
          <w:szCs w:val="28"/>
        </w:rPr>
        <w:t xml:space="preserve">некомерційним </w:t>
      </w:r>
      <w:r>
        <w:rPr>
          <w:sz w:val="28"/>
          <w:szCs w:val="28"/>
        </w:rPr>
        <w:t xml:space="preserve">підприємством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Менської міської ради згідно додатк</w:t>
      </w:r>
      <w:r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до даного рішення (дода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ться).</w:t>
      </w:r>
      <w:r/>
    </w:p>
    <w:p>
      <w:pPr>
        <w:ind w:firstLine="709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Генеральному директору </w:t>
      </w:r>
      <w:r>
        <w:rPr>
          <w:sz w:val="28"/>
          <w:szCs w:val="28"/>
        </w:rPr>
        <w:t xml:space="preserve">Комунального </w:t>
      </w:r>
      <w:r>
        <w:rPr>
          <w:sz w:val="28"/>
          <w:szCs w:val="28"/>
        </w:rPr>
        <w:t xml:space="preserve">некомерційного </w:t>
      </w:r>
      <w:r>
        <w:rPr>
          <w:sz w:val="28"/>
          <w:szCs w:val="28"/>
        </w:rPr>
        <w:t xml:space="preserve">підприємства</w:t>
      </w:r>
      <w:r>
        <w:rPr>
          <w:sz w:val="28"/>
          <w:szCs w:val="28"/>
        </w:rPr>
        <w:t xml:space="preserve">  «М</w:t>
      </w:r>
      <w:r>
        <w:rPr>
          <w:sz w:val="28"/>
          <w:szCs w:val="28"/>
        </w:rPr>
        <w:t xml:space="preserve">енська міська лікарня</w:t>
      </w:r>
      <w:r>
        <w:rPr>
          <w:sz w:val="28"/>
          <w:szCs w:val="28"/>
        </w:rPr>
        <w:t xml:space="preserve">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>
        <w:rPr>
          <w:sz w:val="28"/>
          <w:szCs w:val="28"/>
        </w:rPr>
        <w:t xml:space="preserve">Г.І.</w:t>
      </w:r>
      <w:r>
        <w:rPr>
          <w:sz w:val="28"/>
          <w:szCs w:val="28"/>
        </w:rPr>
        <w:t xml:space="preserve">Разновану</w:t>
      </w:r>
      <w:r>
        <w:rPr>
          <w:sz w:val="28"/>
          <w:szCs w:val="28"/>
        </w:rPr>
        <w:t xml:space="preserve"> затвердити тарифи </w:t>
      </w:r>
      <w:r>
        <w:rPr>
          <w:sz w:val="28"/>
          <w:szCs w:val="28"/>
        </w:rPr>
        <w:t xml:space="preserve">на платні стоматологічні послуги та ввести в дію з 01 квітня 2021 року.</w:t>
      </w:r>
      <w:r/>
    </w:p>
    <w:p>
      <w:pPr>
        <w:ind w:firstLine="709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</w:t>
      </w:r>
      <w:r>
        <w:rPr>
          <w:sz w:val="28"/>
          <w:szCs w:val="28"/>
        </w:rPr>
        <w:t xml:space="preserve"> першого</w:t>
      </w:r>
      <w:r>
        <w:rPr>
          <w:sz w:val="28"/>
          <w:szCs w:val="28"/>
        </w:rPr>
        <w:t xml:space="preserve"> заступника міського голови з питань діяльності виконавчого комітету Менської міської ради </w:t>
      </w:r>
      <w:r>
        <w:rPr>
          <w:sz w:val="28"/>
          <w:szCs w:val="28"/>
        </w:rPr>
      </w:r>
      <w:r>
        <w:rPr>
          <w:sz w:val="28"/>
          <w:szCs w:val="28"/>
        </w:rPr>
        <w:t xml:space="preserve">О.Л.</w:t>
      </w:r>
      <w:r/>
      <w:r>
        <w:rPr>
          <w:sz w:val="28"/>
          <w:szCs w:val="28"/>
        </w:rPr>
        <w:t xml:space="preserve">Небери</w:t>
      </w:r>
      <w:r>
        <w:rPr>
          <w:sz w:val="28"/>
          <w:szCs w:val="28"/>
        </w:rPr>
        <w:t xml:space="preserve">. </w:t>
      </w:r>
      <w:r/>
    </w:p>
    <w:p>
      <w:pPr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lineRule="auto" w:line="240"/>
        <w:tabs>
          <w:tab w:val="left" w:pos="708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  <w:t xml:space="preserve">Г.А. Примаков</w:t>
      </w:r>
      <w:r/>
      <w:r/>
      <w:r/>
    </w:p>
    <w:p>
      <w:pPr>
        <w:shd w:val="nil" w:color="auto" w:fill="FFFFFF"/>
        <w:rPr>
          <w:rFonts w:eastAsia="Batang"/>
          <w:sz w:val="20"/>
        </w:rPr>
      </w:pPr>
      <w:r>
        <w:rPr>
          <w:rFonts w:eastAsia="Batang"/>
          <w:sz w:val="20"/>
        </w:rPr>
        <w:br w:type="page"/>
      </w:r>
      <w:r/>
    </w:p>
    <w:p>
      <w:pPr>
        <w:ind w:left="5669" w:right="0" w:firstLine="0"/>
        <w:jc w:val="both"/>
        <w:spacing w:lineRule="auto" w:line="240"/>
        <w:widowControl w:val="off"/>
        <w:rPr>
          <w:rFonts w:eastAsia="Batang"/>
          <w:sz w:val="20"/>
        </w:rPr>
      </w:pPr>
      <w:r>
        <w:rPr>
          <w:rFonts w:eastAsia="Batang"/>
          <w:sz w:val="20"/>
        </w:rPr>
        <w:t xml:space="preserve">Додаток </w:t>
      </w:r>
      <w:r>
        <w:rPr>
          <w:rFonts w:eastAsia="Batang"/>
          <w:sz w:val="20"/>
        </w:rPr>
        <w:t xml:space="preserve">до </w:t>
      </w:r>
      <w:r>
        <w:rPr>
          <w:rFonts w:eastAsia="Batang"/>
          <w:sz w:val="20"/>
        </w:rPr>
        <w:t xml:space="preserve">рішення 4 сесії</w:t>
      </w:r>
      <w:r>
        <w:rPr>
          <w:rFonts w:eastAsia="Batang"/>
          <w:sz w:val="20"/>
        </w:rPr>
        <w:t xml:space="preserve"> Менської міської ради</w:t>
      </w:r>
      <w:r>
        <w:rPr>
          <w:rFonts w:eastAsia="Batang"/>
          <w:sz w:val="20"/>
          <w:lang w:val="ru-RU"/>
        </w:rPr>
        <w:t xml:space="preserve"> 8 скликання від 26 березня 2021 року №90 «</w:t>
      </w:r>
      <w:r>
        <w:rPr>
          <w:rFonts w:cs="Mangal" w:eastAsia="Lucida Sans Unicode"/>
          <w:sz w:val="20"/>
          <w:szCs w:val="28"/>
          <w:lang w:bidi="hi-IN" w:eastAsia="hi-IN"/>
        </w:rPr>
        <w:t xml:space="preserve">Про </w:t>
      </w:r>
      <w:r>
        <w:rPr>
          <w:rFonts w:cs="Mangal" w:eastAsia="Lucida Sans Unicode"/>
          <w:sz w:val="20"/>
          <w:szCs w:val="28"/>
          <w:lang w:bidi="hi-IN" w:eastAsia="hi-IN"/>
        </w:rPr>
        <w:t xml:space="preserve">погодження тарифів на платні стоматологічні послуги що надаються КНП </w:t>
      </w:r>
      <w:r>
        <w:rPr>
          <w:rFonts w:cs="Mangal" w:eastAsia="Lucida Sans Unicode"/>
          <w:sz w:val="20"/>
          <w:szCs w:val="28"/>
          <w:lang w:bidi="hi-IN" w:eastAsia="hi-IN"/>
        </w:rPr>
        <w:t xml:space="preserve">«Менська міська лікарня» Менської міської ради</w:t>
      </w:r>
      <w:r>
        <w:rPr>
          <w:rFonts w:cs="Mangal" w:eastAsia="Lucida Sans Unicode"/>
          <w:sz w:val="20"/>
          <w:szCs w:val="28"/>
          <w:lang w:bidi="hi-IN" w:eastAsia="hi-IN"/>
        </w:rPr>
        <w:t xml:space="preserve">»</w:t>
      </w:r>
      <w:r>
        <w:rPr>
          <w:sz w:val="20"/>
        </w:rPr>
      </w:r>
      <w:r/>
      <w:r/>
      <w:r/>
    </w:p>
    <w:p>
      <w:pPr>
        <w:spacing w:lineRule="auto" w:line="240"/>
      </w:pPr>
      <w:r/>
      <w:r/>
    </w:p>
    <w:tbl>
      <w:tblPr>
        <w:tblW w:w="9558" w:type="dxa"/>
        <w:tblLayout w:type="fixed"/>
        <w:tblLook w:val="04A0" w:firstRow="1" w:lastRow="0" w:firstColumn="1" w:lastColumn="0" w:noHBand="0" w:noVBand="1"/>
      </w:tblPr>
      <w:tblGrid>
        <w:gridCol w:w="639"/>
        <w:gridCol w:w="7581"/>
        <w:gridCol w:w="1338"/>
      </w:tblGrid>
      <w:tr>
        <w:trPr>
          <w:trHeight w:val="1050"/>
        </w:trPr>
        <w:tc>
          <w:tcPr>
            <w:gridSpan w:val="3"/>
            <w:shd w:val="clear" w:color="auto" w:fill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558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/>
              <w:rPr>
                <w:b/>
                <w:bCs/>
                <w:color w:val="000000"/>
                <w:sz w:val="28"/>
                <w:szCs w:val="26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bCs/>
                <w:color w:val="000000"/>
                <w:sz w:val="28"/>
                <w:szCs w:val="26"/>
                <w:lang w:eastAsia="uk-UA"/>
              </w:rPr>
              <w:t xml:space="preserve">Тарифи на платні стоматологічні послуги, що надаються Комунальним некомерційним підприємством </w:t>
            </w:r>
            <w:r>
              <w:rPr>
                <w:sz w:val="28"/>
              </w:rPr>
            </w:r>
            <w:r>
              <w:rPr>
                <w:sz w:val="28"/>
              </w:rPr>
            </w:r>
            <w:r>
              <w:rPr>
                <w:b/>
                <w:bCs/>
                <w:color w:val="000000"/>
                <w:sz w:val="28"/>
                <w:szCs w:val="26"/>
                <w:lang w:eastAsia="uk-UA"/>
              </w:rPr>
            </w:r>
            <w:r>
              <w:rPr>
                <w:rFonts w:eastAsia="Batang"/>
                <w:sz w:val="28"/>
                <w:lang w:val="ru-RU"/>
              </w:rPr>
              <w:t xml:space="preserve">«</w:t>
            </w:r>
            <w:r>
              <w:rPr>
                <w:b/>
                <w:bCs/>
                <w:color w:val="000000"/>
                <w:sz w:val="28"/>
                <w:szCs w:val="26"/>
                <w:lang w:eastAsia="uk-UA"/>
              </w:rPr>
              <w:t xml:space="preserve">Менська міська лікарня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b/>
                <w:bCs/>
                <w:color w:val="000000"/>
                <w:sz w:val="28"/>
                <w:szCs w:val="26"/>
                <w:lang w:eastAsia="uk-UA"/>
              </w:rPr>
              <w:t xml:space="preserve"> Менської міської ради</w:t>
            </w:r>
            <w:r>
              <w:rPr>
                <w:sz w:val="28"/>
              </w:rPr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bottom"/>
            <w:textDirection w:val="lrTb"/>
            <w:noWrap/>
          </w:tcPr>
          <w:p>
            <w:pPr>
              <w:jc w:val="center"/>
              <w:spacing w:lineRule="auto" w:line="240"/>
              <w:rPr>
                <w:color w:val="000000"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0"/>
                <w:szCs w:val="28"/>
                <w:lang w:eastAsia="uk-UA"/>
              </w:rPr>
              <w:t xml:space="preserve">№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/>
              <w:rPr>
                <w:color w:val="000000"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0"/>
                <w:szCs w:val="28"/>
                <w:lang w:eastAsia="uk-UA"/>
              </w:rPr>
              <w:t xml:space="preserve">Найменування послуг</w:t>
            </w:r>
            <w:r>
              <w:rPr>
                <w:sz w:val="20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/>
              <w:rPr>
                <w:color w:val="000000"/>
                <w:sz w:val="20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0"/>
                <w:szCs w:val="28"/>
                <w:lang w:eastAsia="uk-UA"/>
              </w:rPr>
              <w:t xml:space="preserve">Вартість послуги (грн.)</w:t>
            </w:r>
            <w:r>
              <w:rPr>
                <w:sz w:val="20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bottom"/>
            <w:textDirection w:val="lrTb"/>
            <w:noWrap/>
          </w:tcPr>
          <w:p>
            <w:pPr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b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Терапевтична стоматологія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>
              <w:rPr>
                <w:sz w:val="28"/>
              </w:rPr>
            </w:r>
          </w:p>
        </w:tc>
      </w:tr>
      <w:tr>
        <w:trPr>
          <w:trHeight w:val="1074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Первинний огляд хворого (включає запис анамнезу, фізичних обстежень, запланованої програми діагностики та лікування) в терапії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Огляд порожнини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рота,визначення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пародонтологічного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статусу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>
              <w:rPr>
                <w:sz w:val="28"/>
              </w:rPr>
            </w:r>
          </w:p>
        </w:tc>
      </w:tr>
      <w:tr>
        <w:trPr>
          <w:trHeight w:val="826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Повторний огляд амбулаторного хворого(включає запис анамнезу, фізичного обстеження, контролю призначеного лікування) в терапії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>
          <w:trHeight w:val="8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Консультація хворого (запис огляду та порада ані на прохання лікаря, який лікує, іншим лікарем для спеціальної оцінки подальшого лікування) в терапії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Забезпечення хворого та медичного персоналу засобами індивідуального захисту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</w:t>
            </w:r>
            <w:r>
              <w:rPr>
                <w:sz w:val="28"/>
              </w:rPr>
            </w:r>
          </w:p>
        </w:tc>
      </w:tr>
      <w:tr>
        <w:trPr>
          <w:trHeight w:val="873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Стоматологічне обстеження на амбулаторному прийомі або при профілактичних оглядах, складання плану профілактики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Знеболювання провідникове в терапії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Знеболювання інфільтраційне в терапії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Знеболювання аплікаційне в терапії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>
              <w:rPr>
                <w:sz w:val="28"/>
              </w:rPr>
            </w:r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Огляд ротової порожнини та визначення гігієнічного індексу в терапії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65</w:t>
            </w:r>
            <w:r>
              <w:rPr>
                <w:sz w:val="28"/>
              </w:rPr>
            </w:r>
          </w:p>
        </w:tc>
      </w:tr>
      <w:tr>
        <w:trPr>
          <w:trHeight w:val="609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Визначення ступеня ураження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фуркації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коренів зубів (вертикальна резорбція кісткової тканини)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Визначення патологічної рухомості зубів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Аналіз рентгенограми прицільної в терапії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Аналіз панорамної рентгенограми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Визначення травматичної оклюзії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16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Зняття м’якого зубного нальоту з усіх зубів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55</w:t>
            </w:r>
            <w:r>
              <w:rPr>
                <w:sz w:val="28"/>
              </w:rPr>
            </w:r>
          </w:p>
        </w:tc>
      </w:tr>
      <w:tr>
        <w:trPr>
          <w:trHeight w:val="44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17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Зняття зубного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каменю, нальоту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інструментальним способом з усіх зубів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345</w:t>
            </w:r>
            <w:r>
              <w:rPr>
                <w:sz w:val="28"/>
              </w:rPr>
            </w:r>
          </w:p>
        </w:tc>
      </w:tr>
      <w:tr>
        <w:trPr>
          <w:trHeight w:val="709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18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Зняття зубного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каменю,нальоту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за допомогою ультразвукового апарата з усіх зубів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270</w:t>
            </w:r>
            <w:r>
              <w:rPr>
                <w:sz w:val="28"/>
              </w:rPr>
            </w:r>
          </w:p>
        </w:tc>
      </w:tr>
      <w:tr>
        <w:trPr>
          <w:trHeight w:val="557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19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Вибіркове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пришліфовування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зубів, усунення травматичної оклюзії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20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Закриття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фісур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одного зуба герметиками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220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Контроль за гігієною ротової порожнини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Навчання правилам гігієни порожнини рота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Проведення професійної гігієни усіх зубів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275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Усунення місцевих подразнюючих факторів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>
              <w:rPr>
                <w:sz w:val="28"/>
              </w:rPr>
            </w:r>
          </w:p>
        </w:tc>
      </w:tr>
      <w:tr>
        <w:trPr>
          <w:trHeight w:val="529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Усунення шкідливих звичок (навчання, консультація матері та дитини)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65</w:t>
            </w:r>
            <w:r>
              <w:rPr>
                <w:sz w:val="28"/>
              </w:rPr>
            </w:r>
          </w:p>
        </w:tc>
      </w:tr>
      <w:tr>
        <w:trPr>
          <w:trHeight w:val="584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26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Лікування одного зуба при поверхневому і середньому карієсі (без накладання пломби)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60</w:t>
            </w:r>
            <w:r>
              <w:rPr>
                <w:sz w:val="28"/>
              </w:rPr>
            </w:r>
          </w:p>
        </w:tc>
      </w:tr>
      <w:tr>
        <w:trPr>
          <w:trHeight w:val="639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27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Лікування одного зуба при глибокому карієсі (без накладання пломби)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28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Усунення дефекту пломби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29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Сріблення поверхні або порожнини зуба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>
          <w:trHeight w:val="632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30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Препарування каріозної порожнини (або трепанація коронки), розкриття рогу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пульпової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камери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девіталізуючої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пасти та пов’язки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Пульпотомія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140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Екстирпація пульпи з одного кореня зуба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>
          <w:trHeight w:val="524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Пломбування одного каналу кореня зуба пастою, що полімеризується (цементом)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105</w:t>
            </w:r>
            <w:r>
              <w:rPr>
                <w:sz w:val="28"/>
              </w:rPr>
            </w:r>
          </w:p>
        </w:tc>
      </w:tr>
      <w:tr>
        <w:trPr>
          <w:trHeight w:val="579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Закриття перфорації каналу зуба або перфорації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дна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пульпової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камери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>
          <w:trHeight w:val="633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36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лікувальної пов’язки при лікуванні карієсу та його ускладненнях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>
          <w:trHeight w:val="44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37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Інструментальна та медикаментозна обробка одного каналу зуба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>
              <w:rPr>
                <w:sz w:val="28"/>
              </w:rPr>
            </w:r>
          </w:p>
        </w:tc>
      </w:tr>
      <w:tr>
        <w:trPr>
          <w:trHeight w:val="353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38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Механічне та хімічне розширення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облітерованого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каналу зуба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220</w:t>
            </w:r>
            <w:r>
              <w:rPr>
                <w:sz w:val="28"/>
              </w:rPr>
            </w:r>
          </w:p>
        </w:tc>
      </w:tr>
      <w:tr>
        <w:trPr>
          <w:trHeight w:val="691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39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Розпломбування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кореневого каналу зуба, запломбованого пастою, що полімеризується, або цементом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290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Вилучення стороннього тіла і каналу зуба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365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постійної пломби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45</w:t>
            </w:r>
            <w:r>
              <w:rPr>
                <w:sz w:val="28"/>
              </w:rPr>
            </w:r>
          </w:p>
        </w:tc>
      </w:tr>
      <w:tr>
        <w:trPr>
          <w:trHeight w:val="212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Введення пара пульпарних штифтів для покращення фіксації композитної пломби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110</w:t>
            </w:r>
            <w:r>
              <w:rPr>
                <w:sz w:val="28"/>
              </w:rPr>
            </w:r>
          </w:p>
        </w:tc>
      </w:tr>
      <w:tr>
        <w:trPr>
          <w:trHeight w:val="409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Відновлення зруйнованої коронки однокореневого зуба пломбуванням композитним матеріалом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250</w:t>
            </w:r>
            <w:r>
              <w:rPr>
                <w:sz w:val="28"/>
              </w:rPr>
            </w:r>
          </w:p>
        </w:tc>
      </w:tr>
      <w:tr>
        <w:trPr>
          <w:trHeight w:val="283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Відновлення зруйнованої коронки однокореневого зуба за допомогою дротяного каркасу, анкерних штифтів, пластмаси або композитного матеріалу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530</w:t>
            </w:r>
            <w:r>
              <w:rPr>
                <w:sz w:val="28"/>
              </w:rPr>
            </w:r>
          </w:p>
        </w:tc>
      </w:tr>
      <w:tr>
        <w:trPr>
          <w:trHeight w:val="763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Відновлення зруйнованої коронки однокореневого зуба за допомогою дротяного каркасу, анкерних штифтів та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світлополімерного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матеріалу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710</w:t>
            </w:r>
            <w:r>
              <w:rPr>
                <w:sz w:val="28"/>
              </w:rPr>
            </w:r>
          </w:p>
        </w:tc>
      </w:tr>
      <w:tr>
        <w:trPr>
          <w:trHeight w:val="779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46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Відновлення зруйнованої коронки багато кореневого зуба за допомогою дротяного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каркасу,анкерних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штифтів, пластмаси, композитного матеріалу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655</w:t>
            </w:r>
            <w:r>
              <w:rPr>
                <w:sz w:val="28"/>
              </w:rPr>
            </w:r>
          </w:p>
        </w:tc>
      </w:tr>
      <w:tr>
        <w:trPr>
          <w:trHeight w:val="512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47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Відновлення зруйнованої коронки багато кореневого зуба за допомогою дротяного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каркасу,анкерних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штифтів, пластмаси,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світлополімерного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матеріалу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825</w:t>
            </w:r>
            <w:r>
              <w:rPr>
                <w:sz w:val="28"/>
              </w:rPr>
            </w:r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48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Лікування гострих форм стоматиту (ОГС, РГС,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кандідоз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, травматичне ушкодження і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т.ін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.)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65</w:t>
            </w:r>
            <w:r>
              <w:rPr>
                <w:sz w:val="28"/>
              </w:rPr>
            </w:r>
          </w:p>
        </w:tc>
      </w:tr>
      <w:tr>
        <w:trPr>
          <w:trHeight w:val="583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49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Лікування захворювань пародонту: накладання лікувальної пов’язки на ясна та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зубоясневі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кишені (одне відвідування)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70</w:t>
            </w:r>
            <w:r>
              <w:rPr>
                <w:sz w:val="28"/>
              </w:rPr>
            </w:r>
          </w:p>
        </w:tc>
      </w:tr>
      <w:tr>
        <w:trPr>
          <w:trHeight w:val="496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Обробка уражених поверхонь слизової оболонки, лікувальні пов’язки (одне відвідування)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80</w:t>
            </w:r>
            <w:r>
              <w:rPr>
                <w:sz w:val="28"/>
              </w:rPr>
            </w:r>
          </w:p>
        </w:tc>
      </w:tr>
      <w:tr>
        <w:trPr>
          <w:trHeight w:val="551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на ясна лікувальних пов’язок, що твердіють в порожнині роту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Кюретаж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пародонтальних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 кишень 2-х зубів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160</w:t>
            </w:r>
            <w:r>
              <w:rPr>
                <w:sz w:val="28"/>
              </w:rPr>
            </w:r>
          </w:p>
        </w:tc>
      </w:tr>
      <w:tr>
        <w:trPr>
          <w:trHeight w:val="221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Діатермокоагуляція ясен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тимчасової пломби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тимчасової пломби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>
              <w:rPr>
                <w:sz w:val="28"/>
              </w:rPr>
            </w:r>
          </w:p>
        </w:tc>
      </w:tr>
      <w:tr>
        <w:trPr>
          <w:trHeight w:val="252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56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Виготовлення і накладання вкладки в однокореневий зуб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410</w:t>
            </w:r>
            <w:r>
              <w:rPr>
                <w:sz w:val="28"/>
              </w:rPr>
            </w:r>
          </w:p>
        </w:tc>
      </w:tr>
      <w:tr>
        <w:trPr>
          <w:trHeight w:val="346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57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Виготовлення і накладання вкладки в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багатокореневий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зуб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630</w:t>
            </w:r>
            <w:r>
              <w:rPr>
                <w:sz w:val="28"/>
              </w:rPr>
            </w:r>
          </w:p>
        </w:tc>
      </w:tr>
      <w:tr>
        <w:trPr>
          <w:trHeight w:val="84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58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склоіномерного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цементу типу «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Іонобонд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» при реставрації до 2/3 коронки зуба (лікування зуба та анестезія сплачуються додатково)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170</w:t>
            </w:r>
            <w:r>
              <w:rPr>
                <w:sz w:val="28"/>
              </w:rPr>
            </w:r>
          </w:p>
        </w:tc>
      </w:tr>
      <w:tr>
        <w:trPr>
          <w:trHeight w:val="818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59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композитного матеріалу типу «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Prime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Dent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» при реставрації  1/3 коронки зуба (лікування зуба та анестезія сплачуються додатково)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80</w:t>
            </w:r>
            <w:r>
              <w:rPr>
                <w:sz w:val="28"/>
              </w:rPr>
            </w:r>
          </w:p>
        </w:tc>
      </w:tr>
      <w:tr>
        <w:trPr>
          <w:trHeight w:val="654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60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композитного матеріалу типу «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Prime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Dent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» при реставрації  усієї коронки зуба (лікування зуба та анестезія сплачуються додатково)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130</w:t>
            </w:r>
            <w:r>
              <w:rPr>
                <w:sz w:val="28"/>
              </w:rPr>
            </w:r>
          </w:p>
        </w:tc>
      </w:tr>
      <w:tr>
        <w:trPr>
          <w:trHeight w:val="773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світло полімерного матеріалу типу «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Gradia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Direct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» при реставрації  до 1/3 коронки зуба (лікування зуба та анестезія сплачуються додатково)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350</w:t>
            </w:r>
            <w:r>
              <w:rPr>
                <w:sz w:val="28"/>
              </w:rPr>
            </w:r>
          </w:p>
        </w:tc>
      </w:tr>
      <w:tr>
        <w:trPr>
          <w:trHeight w:val="283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світлополімерного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матеріалу типу «Харизма» при реставрації до 2/3 коронки зуба (лікування зуба та анестезія сплачуються додатково)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275</w:t>
            </w:r>
            <w:r>
              <w:rPr>
                <w:sz w:val="28"/>
              </w:rPr>
            </w:r>
          </w:p>
        </w:tc>
      </w:tr>
      <w:tr>
        <w:trPr>
          <w:trHeight w:val="802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склоіномерного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матеріалу типу «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Кетак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Цем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» при реставрації до 1/3 коронки зуба (лікування зуба та анестезія сплачуються додатково)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85</w:t>
            </w:r>
            <w:r>
              <w:rPr>
                <w:sz w:val="28"/>
              </w:rPr>
            </w:r>
          </w:p>
        </w:tc>
      </w:tr>
      <w:tr>
        <w:trPr>
          <w:trHeight w:val="120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пломби при лікуванні карієсу та його ускладнень із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склоіномерного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матеріалу типу «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Кетак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Цем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» при реставрації до 2/3 коронки зуба (лікування зуба та анестезія сплачуються додатково)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120</w:t>
            </w:r>
            <w:r>
              <w:rPr>
                <w:sz w:val="28"/>
              </w:rPr>
            </w:r>
          </w:p>
        </w:tc>
      </w:tr>
      <w:tr>
        <w:trPr>
          <w:trHeight w:val="332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Внутрішньошкірна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алергологічна проба (без урахування вартості медикаментів)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66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Лікування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парадонтозу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ін’єкцією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b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Хірургічна стоматологія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>
              <w:rPr>
                <w:sz w:val="28"/>
              </w:rPr>
            </w:r>
          </w:p>
        </w:tc>
      </w:tr>
      <w:tr>
        <w:trPr>
          <w:trHeight w:val="751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67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Первинний огляд хворого  (включає запис анамнезу, фізичних обстежень, запланованої програми діагностики та лікування) в хірургії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>
              <w:rPr>
                <w:sz w:val="28"/>
              </w:rPr>
            </w:r>
          </w:p>
        </w:tc>
      </w:tr>
      <w:tr>
        <w:trPr>
          <w:trHeight w:val="105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68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Повторний огляд амбулаторного хворого (включає запис анамнезу, фізичного обстеження, контролю призначеного лікування) в хірургії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>
              <w:rPr>
                <w:sz w:val="28"/>
              </w:rPr>
            </w:r>
          </w:p>
        </w:tc>
      </w:tr>
      <w:tr>
        <w:trPr>
          <w:trHeight w:val="557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69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Консультація хворого (запис огляду та порада, дані на прохання лікаря, який лікує, іншим лікарем для спеціальної оцінки стану та подальшого лікування) в хірургії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70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Знеболювання провідникове в хірургії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Знеболювання інфільтраційне в хірургії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Знеболювання аплікаційне в хірургії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>
              <w:rPr>
                <w:sz w:val="28"/>
              </w:rPr>
            </w:r>
          </w:p>
        </w:tc>
      </w:tr>
      <w:tr>
        <w:trPr>
          <w:trHeight w:val="127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Огляд ротової порожнини та визначення гігієнічного індексу в хірургії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Аналіз рентгенограми прицільної в хірургії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</w:t>
            </w:r>
            <w:r>
              <w:rPr>
                <w:sz w:val="28"/>
              </w:rPr>
            </w:r>
          </w:p>
        </w:tc>
      </w:tr>
      <w:tr>
        <w:trPr>
          <w:trHeight w:val="363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Аналіз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ортопантограми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, панорамної рентгенограми, томограми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30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76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Біопсія губи хірургічна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77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Біопсія язика хірургічна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78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Біопсія переддвер’я рота хірургічна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85</w:t>
            </w:r>
            <w:r>
              <w:rPr>
                <w:sz w:val="28"/>
              </w:rPr>
            </w:r>
          </w:p>
        </w:tc>
      </w:tr>
      <w:tr>
        <w:trPr>
          <w:trHeight w:val="397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79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зуба просте (включаючи витрати часу на огляд хворого, заповнення документації)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150</w:t>
            </w:r>
            <w:r>
              <w:rPr>
                <w:sz w:val="28"/>
              </w:rPr>
            </w:r>
          </w:p>
        </w:tc>
      </w:tr>
      <w:tr>
        <w:trPr>
          <w:trHeight w:val="31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80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зуба за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ортодонтичними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показаннями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тимчасового зуба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145</w:t>
            </w:r>
            <w:r>
              <w:rPr>
                <w:sz w:val="28"/>
              </w:rPr>
            </w:r>
          </w:p>
        </w:tc>
      </w:tr>
      <w:tr>
        <w:trPr>
          <w:trHeight w:val="302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зуба складне (включаючи витрати часу на огляд хворого, заповнення документації)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230</w:t>
            </w:r>
            <w:r>
              <w:rPr>
                <w:sz w:val="28"/>
              </w:rPr>
            </w:r>
          </w:p>
        </w:tc>
      </w:tr>
      <w:tr>
        <w:trPr>
          <w:trHeight w:val="73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швів на лунку після видалення зуба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125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Усунення шкідливих звичок (навчання)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Усунення подразнюючих факторів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86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Розкриття абсцесу, дренування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>
              <w:rPr>
                <w:sz w:val="28"/>
              </w:rPr>
            </w:r>
          </w:p>
        </w:tc>
      </w:tr>
      <w:tr>
        <w:trPr>
          <w:trHeight w:val="46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87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доброякісних новоутворень альвеолярного паростка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135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88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Лікування  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кюретажем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ямки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100</w:t>
            </w:r>
            <w:r>
              <w:rPr>
                <w:sz w:val="28"/>
              </w:rPr>
            </w:r>
          </w:p>
        </w:tc>
      </w:tr>
      <w:tr>
        <w:trPr>
          <w:trHeight w:val="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89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Медикаментозне лікування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альвеоліту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перікоронариту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60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Гінгівектомія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185</w:t>
            </w:r>
            <w:r>
              <w:rPr>
                <w:sz w:val="28"/>
              </w:rPr>
            </w:r>
          </w:p>
        </w:tc>
      </w:tr>
      <w:tr>
        <w:trPr>
          <w:trHeight w:val="127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епулісу з ростковою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зоною,гранульоми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265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Розтин капюшона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Промивання капюшону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Розтин окістя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85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Резекція капюшона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115</w:t>
            </w:r>
            <w:r>
              <w:rPr>
                <w:sz w:val="28"/>
              </w:rPr>
            </w:r>
          </w:p>
        </w:tc>
      </w:tr>
      <w:tr>
        <w:trPr>
          <w:trHeight w:val="381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96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Дренування абсцесу при розтині слинної залози або протоки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150</w:t>
            </w:r>
            <w:r>
              <w:rPr>
                <w:sz w:val="28"/>
              </w:rPr>
            </w:r>
          </w:p>
        </w:tc>
      </w:tr>
      <w:tr>
        <w:trPr>
          <w:trHeight w:val="360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97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каменю із протоки слинної залози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98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Розтин абсцесу з наступним дренуванням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120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99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Розтин і дренування абсцесів піднебіння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90</w:t>
            </w:r>
            <w:r>
              <w:rPr>
                <w:sz w:val="28"/>
              </w:rPr>
            </w:r>
          </w:p>
        </w:tc>
      </w:tr>
      <w:tr>
        <w:trPr>
          <w:trHeight w:val="146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100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Видалення доброякісних новоутворень м’яких тканин ротової порожнини (папіломи, фіброми та ін..)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130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Первинна хірургічна обробка рани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150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102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Коагуляція ясен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>
              <w:rPr>
                <w:sz w:val="28"/>
              </w:rPr>
            </w:r>
          </w:p>
        </w:tc>
      </w:tr>
      <w:tr>
        <w:trPr>
          <w:trHeight w:val="281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103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Перев’язка після складного хірургічного втручання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104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Обробка виразки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>
              <w:rPr>
                <w:sz w:val="28"/>
              </w:rPr>
            </w:r>
          </w:p>
        </w:tc>
      </w:tr>
      <w:tr>
        <w:trPr>
          <w:trHeight w:val="273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105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Виправлення звичного вивиху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скронево-нижньо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щелепного суглоба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>
              <w:rPr>
                <w:sz w:val="28"/>
              </w:rPr>
            </w:r>
          </w:p>
        </w:tc>
      </w:tr>
      <w:tr>
        <w:trPr>
          <w:trHeight w:val="327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106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Вправлення гострого вивиху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скронево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-нижньощелепного суглоба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110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107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Іммобілізація за допомогою пов’язки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75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108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Накладання пращі на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підпоріддя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109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Припинення кровотечі після видалення зуба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50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110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Зняття швів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25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b/>
                <w:bCs/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/>
                <w:bCs/>
                <w:color w:val="000000"/>
                <w:sz w:val="28"/>
                <w:szCs w:val="28"/>
                <w:lang w:eastAsia="uk-UA"/>
              </w:rPr>
              <w:t xml:space="preserve">Рентгенологічне дослідження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 </w:t>
            </w:r>
            <w:r>
              <w:rPr>
                <w:sz w:val="28"/>
              </w:rPr>
            </w:r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39" w:type="dxa"/>
            <w:vAlign w:val="center"/>
            <w:textDirection w:val="lrTb"/>
            <w:noWrap/>
          </w:tcPr>
          <w:p>
            <w:pPr>
              <w:jc w:val="right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111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581" w:type="dxa"/>
            <w:vAlign w:val="bottom"/>
            <w:textDirection w:val="lrTb"/>
            <w:noWrap w:val="false"/>
          </w:tcPr>
          <w:p>
            <w:pPr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Рентгенографія зуба</w:t>
            </w:r>
            <w:r>
              <w:rPr>
                <w:sz w:val="28"/>
              </w:rPr>
            </w:r>
          </w:p>
        </w:tc>
        <w:tc>
          <w:tcPr>
            <w:shd w:val="clear" w:color="auto" w:fill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338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color w:val="000000"/>
                <w:sz w:val="28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45</w:t>
            </w:r>
            <w:r>
              <w:rPr>
                <w:sz w:val="28"/>
              </w:rPr>
            </w:r>
          </w:p>
        </w:tc>
      </w:tr>
    </w:tbl>
    <w:p>
      <w:pPr>
        <w:spacing w:lineRule="auto" w:line="240"/>
      </w:pPr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Cambria" w:hAnsi="Cambria" w:cs="Cambria" w:eastAsia="Cambria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395">
    <w:name w:val="Heading 2 Char"/>
    <w:basedOn w:val="420"/>
    <w:link w:val="412"/>
    <w:uiPriority w:val="9"/>
    <w:rPr>
      <w:rFonts w:ascii="Arial" w:hAnsi="Arial" w:cs="Arial" w:eastAsia="Arial"/>
      <w:sz w:val="34"/>
    </w:rPr>
  </w:style>
  <w:style w:type="character" w:styleId="396">
    <w:name w:val="Heading 3 Char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397">
    <w:name w:val="Heading 4 Char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398">
    <w:name w:val="Heading 5 Char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399">
    <w:name w:val="Heading 6 Char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00">
    <w:name w:val="Heading 7 Char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1">
    <w:name w:val="Heading 8 Char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02">
    <w:name w:val="Heading 9 Char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03">
    <w:name w:val="Title Char"/>
    <w:basedOn w:val="420"/>
    <w:link w:val="434"/>
    <w:uiPriority w:val="10"/>
    <w:rPr>
      <w:sz w:val="48"/>
      <w:szCs w:val="48"/>
    </w:rPr>
  </w:style>
  <w:style w:type="character" w:styleId="404">
    <w:name w:val="Subtitle Char"/>
    <w:basedOn w:val="420"/>
    <w:link w:val="436"/>
    <w:uiPriority w:val="11"/>
    <w:rPr>
      <w:sz w:val="24"/>
      <w:szCs w:val="24"/>
    </w:rPr>
  </w:style>
  <w:style w:type="character" w:styleId="405">
    <w:name w:val="Quote Char"/>
    <w:link w:val="438"/>
    <w:uiPriority w:val="29"/>
    <w:rPr>
      <w:i/>
    </w:rPr>
  </w:style>
  <w:style w:type="character" w:styleId="406">
    <w:name w:val="Intense Quote Char"/>
    <w:link w:val="440"/>
    <w:uiPriority w:val="30"/>
    <w:rPr>
      <w:i/>
    </w:rPr>
  </w:style>
  <w:style w:type="character" w:styleId="407">
    <w:name w:val="Header Char"/>
    <w:basedOn w:val="420"/>
    <w:link w:val="442"/>
    <w:uiPriority w:val="99"/>
  </w:style>
  <w:style w:type="character" w:styleId="408">
    <w:name w:val="Footer Char"/>
    <w:basedOn w:val="420"/>
    <w:link w:val="444"/>
    <w:uiPriority w:val="99"/>
  </w:style>
  <w:style w:type="character" w:styleId="409">
    <w:name w:val="Footnote Text Char"/>
    <w:link w:val="573"/>
    <w:uiPriority w:val="99"/>
    <w:rPr>
      <w:sz w:val="18"/>
    </w:rPr>
  </w:style>
  <w:style w:type="paragraph" w:styleId="410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411">
    <w:name w:val="Heading 1"/>
    <w:basedOn w:val="410"/>
    <w:next w:val="410"/>
    <w:link w:val="4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2">
    <w:name w:val="Heading 2"/>
    <w:basedOn w:val="410"/>
    <w:next w:val="410"/>
    <w:link w:val="4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3">
    <w:name w:val="Heading 3"/>
    <w:basedOn w:val="410"/>
    <w:next w:val="410"/>
    <w:link w:val="4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4">
    <w:name w:val="Heading 4"/>
    <w:basedOn w:val="410"/>
    <w:next w:val="410"/>
    <w:link w:val="4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5">
    <w:name w:val="Heading 5"/>
    <w:basedOn w:val="410"/>
    <w:next w:val="410"/>
    <w:link w:val="4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6">
    <w:name w:val="Heading 6"/>
    <w:basedOn w:val="410"/>
    <w:next w:val="410"/>
    <w:link w:val="4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7">
    <w:name w:val="Heading 7"/>
    <w:basedOn w:val="410"/>
    <w:next w:val="410"/>
    <w:link w:val="4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8">
    <w:name w:val="Heading 8"/>
    <w:basedOn w:val="410"/>
    <w:next w:val="410"/>
    <w:link w:val="4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9">
    <w:name w:val="Heading 9"/>
    <w:basedOn w:val="410"/>
    <w:next w:val="410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character" w:styleId="423" w:customStyle="1">
    <w:name w:val="Заголовок 1 Знак"/>
    <w:basedOn w:val="420"/>
    <w:link w:val="411"/>
    <w:uiPriority w:val="9"/>
    <w:rPr>
      <w:rFonts w:ascii="Arial" w:hAnsi="Arial" w:cs="Arial" w:eastAsia="Arial"/>
      <w:sz w:val="40"/>
      <w:szCs w:val="40"/>
    </w:rPr>
  </w:style>
  <w:style w:type="character" w:styleId="424" w:customStyle="1">
    <w:name w:val="Заголовок 2 Знак"/>
    <w:basedOn w:val="420"/>
    <w:link w:val="412"/>
    <w:uiPriority w:val="9"/>
    <w:rPr>
      <w:rFonts w:ascii="Arial" w:hAnsi="Arial" w:cs="Arial" w:eastAsia="Arial"/>
      <w:sz w:val="34"/>
    </w:rPr>
  </w:style>
  <w:style w:type="character" w:styleId="425" w:customStyle="1">
    <w:name w:val="Заголовок 3 Знак"/>
    <w:basedOn w:val="420"/>
    <w:link w:val="413"/>
    <w:uiPriority w:val="9"/>
    <w:rPr>
      <w:rFonts w:ascii="Arial" w:hAnsi="Arial" w:cs="Arial" w:eastAsia="Arial"/>
      <w:sz w:val="30"/>
      <w:szCs w:val="30"/>
    </w:rPr>
  </w:style>
  <w:style w:type="character" w:styleId="426" w:customStyle="1">
    <w:name w:val="Заголовок 4 Знак"/>
    <w:basedOn w:val="420"/>
    <w:link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27" w:customStyle="1">
    <w:name w:val="Заголовок 5 Знак"/>
    <w:basedOn w:val="420"/>
    <w:link w:val="415"/>
    <w:uiPriority w:val="9"/>
    <w:rPr>
      <w:rFonts w:ascii="Arial" w:hAnsi="Arial" w:cs="Arial" w:eastAsia="Arial"/>
      <w:b/>
      <w:bCs/>
      <w:sz w:val="24"/>
      <w:szCs w:val="24"/>
    </w:rPr>
  </w:style>
  <w:style w:type="character" w:styleId="428" w:customStyle="1">
    <w:name w:val="Заголовок 6 Знак"/>
    <w:basedOn w:val="420"/>
    <w:link w:val="416"/>
    <w:uiPriority w:val="9"/>
    <w:rPr>
      <w:rFonts w:ascii="Arial" w:hAnsi="Arial" w:cs="Arial" w:eastAsia="Arial"/>
      <w:b/>
      <w:bCs/>
      <w:sz w:val="22"/>
      <w:szCs w:val="22"/>
    </w:rPr>
  </w:style>
  <w:style w:type="character" w:styleId="429" w:customStyle="1">
    <w:name w:val="Заголовок 7 Знак"/>
    <w:basedOn w:val="420"/>
    <w:link w:val="4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0" w:customStyle="1">
    <w:name w:val="Заголовок 8 Знак"/>
    <w:basedOn w:val="420"/>
    <w:link w:val="418"/>
    <w:uiPriority w:val="9"/>
    <w:rPr>
      <w:rFonts w:ascii="Arial" w:hAnsi="Arial" w:cs="Arial" w:eastAsia="Arial"/>
      <w:i/>
      <w:iCs/>
      <w:sz w:val="22"/>
      <w:szCs w:val="22"/>
    </w:rPr>
  </w:style>
  <w:style w:type="character" w:styleId="431" w:customStyle="1">
    <w:name w:val="Заголовок 9 Знак"/>
    <w:basedOn w:val="420"/>
    <w:link w:val="419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List Paragraph"/>
    <w:basedOn w:val="410"/>
    <w:qFormat/>
    <w:uiPriority w:val="34"/>
    <w:pPr>
      <w:contextualSpacing w:val="true"/>
      <w:ind w:left="720"/>
    </w:pPr>
  </w:style>
  <w:style w:type="paragraph" w:styleId="433">
    <w:name w:val="No Spacing"/>
    <w:qFormat/>
    <w:uiPriority w:val="1"/>
    <w:pPr>
      <w:spacing w:lineRule="auto" w:line="240" w:after="0"/>
    </w:pPr>
  </w:style>
  <w:style w:type="paragraph" w:styleId="434">
    <w:name w:val="Title"/>
    <w:basedOn w:val="410"/>
    <w:next w:val="410"/>
    <w:link w:val="4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5" w:customStyle="1">
    <w:name w:val="Назва Знак"/>
    <w:basedOn w:val="420"/>
    <w:link w:val="434"/>
    <w:uiPriority w:val="10"/>
    <w:rPr>
      <w:sz w:val="48"/>
      <w:szCs w:val="48"/>
    </w:rPr>
  </w:style>
  <w:style w:type="paragraph" w:styleId="436">
    <w:name w:val="Subtitle"/>
    <w:basedOn w:val="410"/>
    <w:next w:val="410"/>
    <w:link w:val="437"/>
    <w:qFormat/>
    <w:uiPriority w:val="11"/>
    <w:rPr>
      <w:sz w:val="24"/>
      <w:szCs w:val="24"/>
    </w:rPr>
    <w:pPr>
      <w:spacing w:after="200" w:before="200"/>
    </w:pPr>
  </w:style>
  <w:style w:type="character" w:styleId="437" w:customStyle="1">
    <w:name w:val="Підзаголовок Знак"/>
    <w:basedOn w:val="420"/>
    <w:link w:val="436"/>
    <w:uiPriority w:val="11"/>
    <w:rPr>
      <w:sz w:val="24"/>
      <w:szCs w:val="24"/>
    </w:rPr>
  </w:style>
  <w:style w:type="paragraph" w:styleId="438">
    <w:name w:val="Quote"/>
    <w:basedOn w:val="410"/>
    <w:next w:val="410"/>
    <w:link w:val="439"/>
    <w:qFormat/>
    <w:uiPriority w:val="29"/>
    <w:rPr>
      <w:i/>
    </w:rPr>
    <w:pPr>
      <w:ind w:left="720" w:right="720"/>
    </w:pPr>
  </w:style>
  <w:style w:type="character" w:styleId="439" w:customStyle="1">
    <w:name w:val="Цитата Знак"/>
    <w:link w:val="438"/>
    <w:uiPriority w:val="29"/>
    <w:rPr>
      <w:i/>
    </w:rPr>
  </w:style>
  <w:style w:type="paragraph" w:styleId="440">
    <w:name w:val="Intense Quote"/>
    <w:basedOn w:val="410"/>
    <w:next w:val="410"/>
    <w:link w:val="4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1" w:customStyle="1">
    <w:name w:val="Насичена цитата Знак"/>
    <w:link w:val="440"/>
    <w:uiPriority w:val="30"/>
    <w:rPr>
      <w:i/>
    </w:rPr>
  </w:style>
  <w:style w:type="paragraph" w:styleId="442">
    <w:name w:val="Header"/>
    <w:basedOn w:val="410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Верхній колонтитул Знак"/>
    <w:basedOn w:val="420"/>
    <w:link w:val="442"/>
    <w:uiPriority w:val="99"/>
  </w:style>
  <w:style w:type="paragraph" w:styleId="444">
    <w:name w:val="Footer"/>
    <w:basedOn w:val="410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Нижній колонтитул Знак"/>
    <w:basedOn w:val="420"/>
    <w:link w:val="444"/>
    <w:uiPriority w:val="99"/>
  </w:style>
  <w:style w:type="table" w:styleId="446">
    <w:name w:val="Table Grid"/>
    <w:basedOn w:val="42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7" w:customStyle="1">
    <w:name w:val="Table Grid Light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8">
    <w:name w:val="Plain Table 1"/>
    <w:basedOn w:val="42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9">
    <w:name w:val="Plain Table 2"/>
    <w:basedOn w:val="42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5" w:customStyle="1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6" w:customStyle="1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7" w:customStyle="1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8" w:customStyle="1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9" w:customStyle="1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0" w:customStyle="1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9" w:customStyle="1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0" w:customStyle="1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1" w:customStyle="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2" w:customStyle="1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3" w:customStyle="1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4" w:customStyle="1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0" w:customStyle="1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1" w:customStyle="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2" w:customStyle="1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3" w:customStyle="1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4" w:customStyle="1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5" w:customStyle="1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8" w:customStyle="1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9" w:customStyle="1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0" w:customStyle="1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1" w:customStyle="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2" w:customStyle="1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3" w:customStyle="1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 &amp; Lined - Accent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9" w:customStyle="1">
    <w:name w:val="Bordered &amp; Lined - Accent 1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0" w:customStyle="1">
    <w:name w:val="Bordered &amp; Lined - Accent 2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1" w:customStyle="1">
    <w:name w:val="Bordered &amp; Lined - Accent 3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2" w:customStyle="1">
    <w:name w:val="Bordered &amp; Lined - Accent 4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3" w:customStyle="1">
    <w:name w:val="Bordered &amp; Lined - Accent 5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4" w:customStyle="1">
    <w:name w:val="Bordered &amp; Lined - Accent 6"/>
    <w:basedOn w:val="42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5" w:customStyle="1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6" w:customStyle="1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7" w:customStyle="1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8" w:customStyle="1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9" w:customStyle="1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0" w:customStyle="1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1" w:customStyle="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2">
    <w:name w:val="Hyperlink"/>
    <w:uiPriority w:val="99"/>
    <w:unhideWhenUsed/>
    <w:rPr>
      <w:color w:val="0000FF" w:themeColor="hyperlink"/>
      <w:u w:val="single"/>
    </w:rPr>
  </w:style>
  <w:style w:type="paragraph" w:styleId="573">
    <w:name w:val="footnote text"/>
    <w:basedOn w:val="410"/>
    <w:link w:val="574"/>
    <w:uiPriority w:val="99"/>
    <w:semiHidden/>
    <w:unhideWhenUsed/>
    <w:rPr>
      <w:sz w:val="18"/>
    </w:rPr>
    <w:pPr>
      <w:spacing w:after="40"/>
    </w:pPr>
  </w:style>
  <w:style w:type="character" w:styleId="574" w:customStyle="1">
    <w:name w:val="Текст виноски Знак"/>
    <w:link w:val="573"/>
    <w:uiPriority w:val="99"/>
    <w:rPr>
      <w:sz w:val="18"/>
    </w:rPr>
  </w:style>
  <w:style w:type="character" w:styleId="575">
    <w:name w:val="footnote reference"/>
    <w:basedOn w:val="420"/>
    <w:uiPriority w:val="99"/>
    <w:unhideWhenUsed/>
    <w:rPr>
      <w:vertAlign w:val="superscript"/>
    </w:rPr>
  </w:style>
  <w:style w:type="paragraph" w:styleId="576">
    <w:name w:val="toc 1"/>
    <w:basedOn w:val="410"/>
    <w:next w:val="410"/>
    <w:uiPriority w:val="39"/>
    <w:unhideWhenUsed/>
    <w:pPr>
      <w:spacing w:after="57"/>
    </w:pPr>
  </w:style>
  <w:style w:type="paragraph" w:styleId="577">
    <w:name w:val="toc 2"/>
    <w:basedOn w:val="410"/>
    <w:next w:val="410"/>
    <w:uiPriority w:val="39"/>
    <w:unhideWhenUsed/>
    <w:pPr>
      <w:ind w:left="283"/>
      <w:spacing w:after="57"/>
    </w:pPr>
  </w:style>
  <w:style w:type="paragraph" w:styleId="578">
    <w:name w:val="toc 3"/>
    <w:basedOn w:val="410"/>
    <w:next w:val="410"/>
    <w:uiPriority w:val="39"/>
    <w:unhideWhenUsed/>
    <w:pPr>
      <w:ind w:left="567"/>
      <w:spacing w:after="57"/>
    </w:pPr>
  </w:style>
  <w:style w:type="paragraph" w:styleId="579">
    <w:name w:val="toc 4"/>
    <w:basedOn w:val="410"/>
    <w:next w:val="410"/>
    <w:uiPriority w:val="39"/>
    <w:unhideWhenUsed/>
    <w:pPr>
      <w:ind w:left="850"/>
      <w:spacing w:after="57"/>
    </w:pPr>
  </w:style>
  <w:style w:type="paragraph" w:styleId="580">
    <w:name w:val="toc 5"/>
    <w:basedOn w:val="410"/>
    <w:next w:val="410"/>
    <w:uiPriority w:val="39"/>
    <w:unhideWhenUsed/>
    <w:pPr>
      <w:ind w:left="1134"/>
      <w:spacing w:after="57"/>
    </w:pPr>
  </w:style>
  <w:style w:type="paragraph" w:styleId="581">
    <w:name w:val="toc 6"/>
    <w:basedOn w:val="410"/>
    <w:next w:val="410"/>
    <w:uiPriority w:val="39"/>
    <w:unhideWhenUsed/>
    <w:pPr>
      <w:ind w:left="1417"/>
      <w:spacing w:after="57"/>
    </w:pPr>
  </w:style>
  <w:style w:type="paragraph" w:styleId="582">
    <w:name w:val="toc 7"/>
    <w:basedOn w:val="410"/>
    <w:next w:val="410"/>
    <w:uiPriority w:val="39"/>
    <w:unhideWhenUsed/>
    <w:pPr>
      <w:ind w:left="1701"/>
      <w:spacing w:after="57"/>
    </w:pPr>
  </w:style>
  <w:style w:type="paragraph" w:styleId="583">
    <w:name w:val="toc 8"/>
    <w:basedOn w:val="410"/>
    <w:next w:val="410"/>
    <w:uiPriority w:val="39"/>
    <w:unhideWhenUsed/>
    <w:pPr>
      <w:ind w:left="1984"/>
      <w:spacing w:after="57"/>
    </w:pPr>
  </w:style>
  <w:style w:type="paragraph" w:styleId="584">
    <w:name w:val="toc 9"/>
    <w:basedOn w:val="410"/>
    <w:next w:val="410"/>
    <w:uiPriority w:val="39"/>
    <w:unhideWhenUsed/>
    <w:pPr>
      <w:ind w:left="2268"/>
      <w:spacing w:after="57"/>
    </w:pPr>
  </w:style>
  <w:style w:type="paragraph" w:styleId="585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ПРИМАКОВ Геннадій Анатолійович</cp:lastModifiedBy>
  <cp:revision>12</cp:revision>
  <dcterms:created xsi:type="dcterms:W3CDTF">2021-03-11T15:13:00Z</dcterms:created>
  <dcterms:modified xsi:type="dcterms:W3CDTF">2021-03-25T10:43:17Z</dcterms:modified>
</cp:coreProperties>
</file>