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lang w:val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7" cy="609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left="432" w:hanging="432"/>
        <w:jc w:val="center"/>
        <w:keepNext/>
        <w:widowControl w:val="o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Чернігівськ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а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област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bidi="hi-IN" w:eastAsia="hi-IN"/>
        </w:rPr>
        <w:t xml:space="preserve">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bidi="hi-IN" w:eastAsia="hi-IN"/>
        </w:rPr>
        <w:t xml:space="preserve">друга сесія 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bidi="hi-IN" w:eastAsia="hi-IN"/>
        </w:rPr>
        <w:t xml:space="preserve"> )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ind w:firstLine="0"/>
        <w:tabs>
          <w:tab w:val="center" w:pos="481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22 січня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20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№236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rPr>
          <w:sz w:val="28"/>
        </w:rPr>
      </w:pPr>
      <w:r>
        <w:rPr>
          <w:sz w:val="28"/>
          <w:lang w:val="uk-UA"/>
        </w:rPr>
      </w:r>
      <w:r>
        <w:rPr>
          <w:sz w:val="28"/>
          <w:lang w:val="uk-UA"/>
        </w:rPr>
      </w:r>
      <w:r>
        <w:rPr>
          <w:sz w:val="28"/>
        </w:rPr>
      </w:r>
    </w:p>
    <w:p>
      <w:pPr>
        <w:ind w:left="0" w:right="4819" w:firstLine="0"/>
        <w:jc w:val="both"/>
        <w:shd w:val="clear" w:color="auto" w:fill="FFFFFF"/>
        <w:rPr>
          <w:b/>
          <w:sz w:val="28"/>
        </w:rPr>
      </w:pPr>
      <w:r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з</w:t>
      </w:r>
      <w:r>
        <w:rPr>
          <w:b/>
          <w:sz w:val="28"/>
          <w:szCs w:val="28"/>
          <w:lang w:val="uk-UA"/>
        </w:rPr>
        <w:t xml:space="preserve">верненн</w:t>
      </w:r>
      <w:r>
        <w:rPr>
          <w:b/>
          <w:sz w:val="28"/>
          <w:szCs w:val="28"/>
          <w:lang w:val="uk-UA"/>
        </w:rPr>
        <w:t xml:space="preserve">я Менської </w:t>
      </w:r>
      <w:r>
        <w:rPr>
          <w:b/>
          <w:sz w:val="28"/>
          <w:szCs w:val="28"/>
          <w:lang w:val="uk-UA"/>
        </w:rPr>
        <w:t xml:space="preserve">міської </w:t>
      </w:r>
      <w:r>
        <w:rPr>
          <w:b/>
          <w:sz w:val="28"/>
          <w:szCs w:val="28"/>
          <w:lang w:val="uk-UA"/>
        </w:rPr>
        <w:t xml:space="preserve">ради</w:t>
      </w:r>
      <w:r>
        <w:rPr>
          <w:b/>
          <w:sz w:val="28"/>
          <w:szCs w:val="28"/>
          <w:lang w:val="uk-UA"/>
        </w:rPr>
        <w:t xml:space="preserve"> до </w:t>
      </w:r>
      <w:r>
        <w:rPr>
          <w:b/>
          <w:sz w:val="28"/>
          <w:szCs w:val="28"/>
          <w:lang w:val="uk-UA"/>
        </w:rPr>
        <w:t xml:space="preserve">Президента України, Верховної Ради України, Кабінету Міністрів України та Національної комісії, що здійснює державне регулювання у сферах енергетики та комунальних послуг України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щодо відміни рішення про зростання ціни на природний газ та заборону імпорту російської та білоруської електроенергії</w:t>
      </w:r>
      <w:r>
        <w:rPr>
          <w:b/>
          <w:sz w:val="28"/>
        </w:rPr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576"/>
        <w:ind w:firstLine="720"/>
        <w:spacing w:lineRule="auto" w:line="240"/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 метою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зня</w:t>
      </w:r>
      <w:r>
        <w:rPr>
          <w:sz w:val="28"/>
          <w:szCs w:val="28"/>
          <w:lang w:val="uk-UA"/>
        </w:rPr>
        <w:t xml:space="preserve">ття соціальної напруги</w:t>
      </w:r>
      <w:r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статтею 26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Менська міська</w:t>
      </w:r>
      <w:r>
        <w:rPr>
          <w:sz w:val="28"/>
          <w:szCs w:val="28"/>
          <w:lang w:val="uk-UA"/>
        </w:rPr>
        <w:t xml:space="preserve"> рада </w:t>
      </w:r>
      <w:r>
        <w:rPr>
          <w:sz w:val="28"/>
          <w:lang w:val="uk-UA"/>
        </w:rPr>
      </w:r>
      <w:r>
        <w:rPr>
          <w:sz w:val="28"/>
        </w:rPr>
      </w:r>
    </w:p>
    <w:p>
      <w:pPr>
        <w:pStyle w:val="576"/>
        <w:ind w:firstLine="720"/>
        <w:spacing w:lineRule="auto" w:line="240"/>
        <w:widowControl/>
        <w:rPr>
          <w:sz w:val="28"/>
          <w:szCs w:val="28"/>
        </w:rPr>
      </w:pPr>
      <w:r>
        <w:rPr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  <w:t xml:space="preserve">ВИРІШИЛА: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firstLine="709"/>
        <w:jc w:val="both"/>
        <w:spacing w:lineRule="auto" w:line="240"/>
        <w:shd w:val="clear" w:color="auto" w:fill="FFFFFF"/>
        <w:rPr>
          <w:rStyle w:val="575"/>
          <w:sz w:val="28"/>
          <w:szCs w:val="28"/>
        </w:rPr>
      </w:pPr>
      <w:r>
        <w:rPr>
          <w:sz w:val="28"/>
          <w:szCs w:val="28"/>
          <w:lang w:val="uk-UA"/>
        </w:rPr>
        <w:t xml:space="preserve"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вернутися до </w:t>
      </w:r>
      <w:r>
        <w:rPr>
          <w:sz w:val="28"/>
          <w:szCs w:val="28"/>
          <w:lang w:val="uk-UA"/>
        </w:rPr>
        <w:t xml:space="preserve">Президента України, Верховної Ради України, Кабінету Міністрів України та Національної комісії, що здійснює державне регулювання у сферах енергетики та комунальних послуг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відміни рішення про зростання ціни на природний газ та заборону імпорту російської та білоруської електроенергії</w:t>
      </w:r>
      <w:r>
        <w:rPr>
          <w:rStyle w:val="575"/>
          <w:sz w:val="28"/>
          <w:szCs w:val="28"/>
          <w:lang w:val="uk-UA" w:eastAsia="uk-UA"/>
        </w:rPr>
        <w:t xml:space="preserve">, згідно додатку до даного рішення - додаєтьс</w:t>
      </w:r>
      <w:r>
        <w:rPr>
          <w:rStyle w:val="575"/>
          <w:sz w:val="28"/>
          <w:szCs w:val="28"/>
          <w:lang w:val="uk-UA" w:eastAsia="uk-UA"/>
        </w:rPr>
        <w:t xml:space="preserve">я.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firstLine="720"/>
        <w:jc w:val="both"/>
        <w:spacing w:lineRule="auto" w:line="2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Міському голові Г.А.</w:t>
      </w:r>
      <w:r>
        <w:rPr>
          <w:color w:val="000000" w:themeColor="text1"/>
          <w:sz w:val="28"/>
          <w:szCs w:val="28"/>
          <w:lang w:val="uk-UA"/>
        </w:rPr>
        <w:t xml:space="preserve">Примакову </w:t>
      </w:r>
      <w:r>
        <w:rPr>
          <w:color w:val="000000" w:themeColor="text1"/>
          <w:sz w:val="28"/>
          <w:szCs w:val="28"/>
          <w:lang w:val="uk-UA"/>
        </w:rPr>
        <w:t xml:space="preserve">направити </w:t>
      </w:r>
      <w:r>
        <w:rPr>
          <w:sz w:val="28"/>
          <w:szCs w:val="28"/>
          <w:lang w:val="uk-UA"/>
        </w:rPr>
        <w:t xml:space="preserve">Звернення до </w:t>
      </w:r>
      <w:r>
        <w:rPr>
          <w:sz w:val="28"/>
          <w:szCs w:val="28"/>
          <w:lang w:val="uk-UA"/>
        </w:rPr>
        <w:t xml:space="preserve">Президента України, Верховної Ради України, Кабінету Міністрів України та Національної комісії, що здійснює державне регулювання у сферах енергетики та комунальних послуг України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>
        <w:rPr>
          <w:sz w:val="28"/>
        </w:rPr>
      </w:r>
    </w:p>
    <w:p>
      <w:pPr>
        <w:ind w:firstLine="720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720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720"/>
        <w:jc w:val="both"/>
        <w:spacing w:lineRule="auto" w:line="2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</w:r>
      <w:r/>
    </w:p>
    <w:p>
      <w:pPr>
        <w:ind w:firstLine="0"/>
        <w:jc w:val="both"/>
        <w:spacing w:lineRule="auto" w:line="276"/>
        <w:tabs>
          <w:tab w:val="left" w:pos="6236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</w:t>
        <w:tab/>
        <w:t xml:space="preserve">Г.А.Примаков</w:t>
      </w:r>
      <w:r>
        <w:rPr>
          <w:b/>
          <w:sz w:val="28"/>
          <w:szCs w:val="28"/>
          <w:lang w:val="uk-UA"/>
        </w:rPr>
      </w:r>
      <w:r/>
    </w:p>
    <w:p>
      <w:pPr>
        <w:spacing w:lineRule="auto" w:line="276"/>
        <w:tabs>
          <w:tab w:val="left" w:pos="16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lang w:val="uk-UA"/>
        </w:rPr>
      </w:r>
      <w:r/>
    </w:p>
    <w:p>
      <w:pPr>
        <w:ind w:left="5669" w:right="0" w:firstLine="0"/>
        <w:jc w:val="both"/>
        <w:shd w:val="clear" w:color="auto" w:fill="FFFFFF"/>
        <w:rPr>
          <w:sz w:val="20"/>
          <w:lang w:val="uk-UA"/>
        </w:rPr>
      </w:pPr>
      <w:r>
        <w:rPr>
          <w:sz w:val="20"/>
          <w:szCs w:val="28"/>
          <w:lang w:val="uk-UA"/>
        </w:rPr>
        <w:t xml:space="preserve">Додаток до рішення 2 сесії Менської міської ради 8 скликання від 22.01.2021 №236 «Про </w:t>
      </w:r>
      <w:r>
        <w:rPr>
          <w:sz w:val="20"/>
          <w:szCs w:val="28"/>
          <w:lang w:val="uk-UA"/>
        </w:rPr>
        <w:t xml:space="preserve">з</w:t>
      </w:r>
      <w:r>
        <w:rPr>
          <w:sz w:val="20"/>
          <w:szCs w:val="28"/>
          <w:lang w:val="uk-UA"/>
        </w:rPr>
        <w:t xml:space="preserve">верненн</w:t>
      </w:r>
      <w:r>
        <w:rPr>
          <w:sz w:val="20"/>
          <w:szCs w:val="28"/>
          <w:lang w:val="uk-UA"/>
        </w:rPr>
        <w:t xml:space="preserve">я Менської </w:t>
      </w:r>
      <w:r>
        <w:rPr>
          <w:sz w:val="20"/>
          <w:szCs w:val="28"/>
          <w:lang w:val="uk-UA"/>
        </w:rPr>
        <w:t xml:space="preserve">міської </w:t>
      </w:r>
      <w:r>
        <w:rPr>
          <w:sz w:val="20"/>
          <w:szCs w:val="28"/>
          <w:lang w:val="uk-UA"/>
        </w:rPr>
        <w:t xml:space="preserve">ради</w:t>
      </w:r>
      <w:r>
        <w:rPr>
          <w:sz w:val="20"/>
          <w:szCs w:val="28"/>
          <w:lang w:val="uk-UA"/>
        </w:rPr>
        <w:t xml:space="preserve"> до </w:t>
      </w:r>
      <w:r>
        <w:rPr>
          <w:sz w:val="20"/>
          <w:szCs w:val="28"/>
          <w:lang w:val="uk-UA"/>
        </w:rPr>
        <w:t xml:space="preserve">Президента України, Верховної Ради України, Кабінету Міністрів України та Національної комісії, що здійснює державне регулювання у сферах енергетики та комунальних послуг України</w:t>
      </w:r>
      <w:r>
        <w:rPr>
          <w:sz w:val="20"/>
          <w:szCs w:val="28"/>
          <w:lang w:val="uk-UA"/>
        </w:rPr>
        <w:t xml:space="preserve"> </w:t>
      </w:r>
      <w:r>
        <w:rPr>
          <w:sz w:val="20"/>
          <w:szCs w:val="28"/>
          <w:lang w:val="uk-UA"/>
        </w:rPr>
        <w:t xml:space="preserve">щодо відміни рішення про зростання ціни на природний газ та заборону імпорту російської та білоруської електроенергії</w:t>
      </w:r>
      <w:r>
        <w:rPr>
          <w:sz w:val="20"/>
          <w:szCs w:val="28"/>
          <w:lang w:val="uk-UA"/>
        </w:rPr>
        <w:t xml:space="preserve">»</w:t>
      </w:r>
      <w:r>
        <w:rPr>
          <w:sz w:val="22"/>
        </w:rPr>
      </w:r>
      <w:r/>
    </w:p>
    <w:p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sz w:val="28"/>
          <w:szCs w:val="28"/>
          <w:lang w:val="uk-UA"/>
        </w:rPr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ЗВЕРНЕН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Н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Я</w:t>
      </w:r>
      <w:r>
        <w:rPr>
          <w:sz w:val="28"/>
        </w:rPr>
      </w:r>
      <w:r/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до Президента України, Верховної Ради України, Кабінету Міністрів України та Національної комісії, що здійснює державне регулювання у сферах енергетики та комунальних послуг України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щодо відміни рішення про зростанн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я ціни на природний газ та заборону </w:t>
      </w:r>
      <w:r>
        <w:rPr>
          <w:rFonts w:ascii="Times New Roman" w:hAnsi="Times New Roman" w:cs="Times New Roman"/>
          <w:b/>
          <w:sz w:val="28"/>
          <w:szCs w:val="26"/>
          <w:lang w:val="uk-UA"/>
        </w:rPr>
        <w:t xml:space="preserve">імпорту російської та білоруської електроенергії</w:t>
      </w:r>
      <w:r>
        <w:rPr>
          <w:sz w:val="28"/>
        </w:rPr>
      </w:r>
      <w:r/>
    </w:p>
    <w:p>
      <w:pPr>
        <w:tabs>
          <w:tab w:val="left" w:pos="16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left="0" w:right="0" w:firstLine="709"/>
        <w:jc w:val="both"/>
        <w:spacing w:before="0" w:beforeAutospacing="0"/>
        <w:tabs>
          <w:tab w:val="left" w:pos="16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Менська міська рада, як представницький орган Менської міської територіальної громади, звертається до Вас із проханням вплинути на ситуацію, що зараз склалася навколо тарифної політики на енергоносії та комунальні </w:t>
      </w:r>
      <w:r>
        <w:rPr>
          <w:sz w:val="28"/>
          <w:szCs w:val="28"/>
          <w:lang w:val="uk-UA"/>
        </w:rPr>
        <w:t xml:space="preserve">послуги, та віднайти можливості їх зменшення, а також віднайти можливість збільшення видатків на виплату пільг та житлових субсидій громадянам на оплату житлово-комунальних послуг, придбання твердого та рідкого пічного побутового палива і скрапленого газу.</w:t>
      </w:r>
      <w:r>
        <w:rPr>
          <w:lang w:val="uk-UA"/>
        </w:rPr>
      </w:r>
      <w:r/>
    </w:p>
    <w:p>
      <w:pPr>
        <w:ind w:left="0" w:right="0" w:firstLine="709"/>
        <w:jc w:val="both"/>
        <w:spacing w:before="0" w:beforeAutospacing="0"/>
        <w:tabs>
          <w:tab w:val="left" w:pos="1635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гідно з Постановами Національної комісії, що здійснює державне регулювання у сферах енергетики та комунальних послуг, від 09.12.2020 №2384 та від 30.12.2020 №2786 з 01.01.2021 року відбулося підвищення тарифів на послуги з розподілу електричної енергії І к</w:t>
      </w:r>
      <w:r>
        <w:rPr>
          <w:sz w:val="28"/>
          <w:szCs w:val="28"/>
          <w:lang w:val="uk-UA"/>
        </w:rPr>
        <w:t xml:space="preserve">ласу напруги на 9,9%, для ІІ класу на 26,2% та на  послуги з розподілу природного газу на 72,3% відповідно.</w:t>
      </w:r>
      <w:r>
        <w:rPr>
          <w:lang w:val="uk-UA"/>
        </w:rPr>
      </w:r>
      <w:r/>
    </w:p>
    <w:p>
      <w:pPr>
        <w:ind w:left="0" w:right="0" w:firstLine="709"/>
        <w:jc w:val="both"/>
        <w:spacing w:before="0" w:beforeAutospacing="0"/>
        <w:tabs>
          <w:tab w:val="left" w:pos="1635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З</w:t>
      </w:r>
      <w:r>
        <w:rPr>
          <w:sz w:val="28"/>
          <w:szCs w:val="28"/>
          <w:lang w:val="uk-UA"/>
        </w:rPr>
        <w:t xml:space="preserve">ростання тарифів на енергоносії призведе до подальшого підвищення тарифів на комунальні послуги, оскільки енергоносії займають найбільшу питому вагу у структурі тарифів на послуги з постачання теплової енергії, постачання гарячої води, централі</w:t>
      </w:r>
      <w:r>
        <w:rPr>
          <w:sz w:val="28"/>
          <w:szCs w:val="28"/>
          <w:lang w:val="uk-UA"/>
        </w:rPr>
        <w:t xml:space="preserve">зованого водопостачання та централізованого водовідведення. Крім того, збільшення видатків в бюджеті громади 2021 року на оплату таких послуг, наданих закладам освіти, культури, медичним закладам і закладам соціального захисту населення не передбачено.</w:t>
      </w:r>
      <w:r>
        <w:rPr>
          <w:lang w:val="uk-UA"/>
        </w:rPr>
      </w:r>
      <w:r/>
    </w:p>
    <w:p>
      <w:pPr>
        <w:ind w:left="0" w:right="0" w:firstLine="709"/>
        <w:jc w:val="both"/>
        <w:spacing w:before="0" w:beforeAutospacing="0"/>
        <w:tabs>
          <w:tab w:val="left" w:pos="16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Таке підвищення тарифів підвищить соціальну напругу та призвести до проведення масових акцій протесту. Мільйони людей можуть опинитися за межею бідності.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Як депутати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ради ми занепокоєні ситуацією, що складається навколо «тарифного питання».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Переконані, що чергове підвищення тарифів на природний газ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та електроенергію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матиме катастрофічний вплив на рівень та умови життя більшої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частини населення, адже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ще більш 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очевидною буде різниця між доходами та необхідними витратами громадян.</w:t>
      </w:r>
      <w:r>
        <w:rPr>
          <w:rFonts w:ascii="Times New Roman" w:hAnsi="Times New Roman" w:cs="Times New Roman"/>
          <w:sz w:val="28"/>
          <w:lang w:val="uk-UA"/>
        </w:rPr>
      </w:r>
      <w:r/>
    </w:p>
    <w:p>
      <w:pPr>
        <w:ind w:left="0" w:right="0" w:firstLine="709"/>
        <w:jc w:val="both"/>
        <w:spacing w:before="0" w:beforeAutospacing="0"/>
        <w:tabs>
          <w:tab w:val="left" w:pos="163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попередні роки ефективним механізмом захисту громадян від зростання тарифів, були субсидії, які компенсували витрати тих, хто не мав змоги сплатити за комунальні послуги. </w:t>
      </w:r>
      <w:r>
        <w:rPr>
          <w:sz w:val="28"/>
          <w:szCs w:val="28"/>
          <w:lang w:val="uk-UA"/>
        </w:rPr>
      </w:r>
      <w:r/>
    </w:p>
    <w:p>
      <w:pPr>
        <w:ind w:left="0" w:right="0" w:firstLine="709"/>
        <w:jc w:val="both"/>
        <w:spacing w:before="0" w:beforeAutospacing="0"/>
        <w:tabs>
          <w:tab w:val="left" w:pos="1635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Враховуючи вищесказане, просимо Вас розглянути можливості щодо перегляду розміру тарифів з розподілу електричної енергії та на послуги з розподілу природного газу в бік їх зменшення, а також ініц</w:t>
      </w:r>
      <w:r>
        <w:rPr>
          <w:sz w:val="28"/>
          <w:szCs w:val="28"/>
          <w:lang w:val="uk-UA"/>
        </w:rPr>
        <w:t xml:space="preserve">іювати внесення змін до Державного бюджету України на 2021 рік в частині збільшення видатків та виплати пільг  і житлових субсидій громадянам на оплату житлово-комунальних послуг, придбання твердого та рідкого пічного побутового палива і скрапленого газу. </w:t>
      </w:r>
      <w:r>
        <w:rPr>
          <w:lang w:val="uk-UA"/>
        </w:rPr>
      </w:r>
      <w:r/>
    </w:p>
    <w:p>
      <w:pPr>
        <w:ind w:left="0" w:right="0" w:firstLine="709"/>
        <w:jc w:val="both"/>
        <w:spacing w:before="0" w:beforeAutospacing="0"/>
        <w:tabs>
          <w:tab w:val="left" w:pos="1635" w:leader="none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повагою</w:t>
      </w:r>
      <w:r>
        <w:rPr>
          <w:sz w:val="28"/>
          <w:szCs w:val="28"/>
          <w:lang w:val="uk-UA"/>
        </w:rPr>
        <w:t xml:space="preserve">, депутатський корпус Менської міської ради 8 скликання!</w:t>
      </w: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"/>
      <w:lvlJc w:val="left"/>
      <w:pPr>
        <w:ind w:left="0" w:firstLine="0"/>
        <w:tabs>
          <w:tab w:val="left" w:pos="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left" w:pos="72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440" w:leader="none"/>
        </w:tabs>
      </w:pPr>
      <w:rPr>
        <w:rFonts w:ascii="Courier New" w:hAnsi="Courier New" w:cs="Courier New" w:hint="default"/>
      </w:rPr>
    </w:lvl>
    <w:lvl w:ilvl="3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160" w:leader="none"/>
        </w:tabs>
      </w:pPr>
      <w:rPr>
        <w:rFonts w:ascii="Wingdings" w:hAnsi="Wingdings" w:hint="default"/>
      </w:rPr>
    </w:lvl>
    <w:lvl w:ilvl="4">
      <w:start w:val="1"/>
      <w:numFmt w:val="bullet"/>
      <w:isLgl w:val="false"/>
      <w:suff w:val="tab"/>
      <w:lvlText w:val=""/>
      <w:lvlJc w:val="left"/>
      <w:pPr>
        <w:ind w:left="3240" w:hanging="360"/>
        <w:tabs>
          <w:tab w:val="left" w:pos="2880" w:leader="none"/>
        </w:tabs>
      </w:pPr>
      <w:rPr>
        <w:rFonts w:ascii="Wingdings" w:hAnsi="Wingdings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3960" w:hanging="360"/>
        <w:tabs>
          <w:tab w:val="left" w:pos="360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o"/>
      <w:lvlJc w:val="left"/>
      <w:pPr>
        <w:ind w:left="4680" w:hanging="360"/>
        <w:tabs>
          <w:tab w:val="left" w:pos="4320" w:leader="none"/>
        </w:tabs>
      </w:pPr>
      <w:rPr>
        <w:rFonts w:ascii="Courier New" w:hAnsi="Courier New" w:cs="Courier New" w:hint="default"/>
      </w:rPr>
    </w:lvl>
    <w:lvl w:ilvl="7">
      <w:start w:val="1"/>
      <w:numFmt w:val="bullet"/>
      <w:isLgl w:val="false"/>
      <w:suff w:val="tab"/>
      <w:lvlText w:val=""/>
      <w:lvlJc w:val="left"/>
      <w:pPr>
        <w:ind w:left="5400" w:hanging="360"/>
        <w:tabs>
          <w:tab w:val="left" w:pos="5040" w:leader="none"/>
        </w:tabs>
      </w:pPr>
      <w:rPr>
        <w:rFonts w:ascii="Wingdings" w:hAnsi="Wingdings" w:hint="default"/>
      </w:rPr>
    </w:lvl>
    <w:lvl w:ilvl="8">
      <w:start w:val="1"/>
      <w:numFmt w:val="bullet"/>
      <w:isLgl w:val="false"/>
      <w:suff w:val="tab"/>
      <w:lvlText w:val=""/>
      <w:lvlJc w:val="left"/>
      <w:pPr>
        <w:ind w:left="6120" w:hanging="360"/>
        <w:tabs>
          <w:tab w:val="left" w:pos="5760" w:leader="none"/>
        </w:tabs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58"/>
    <w:link w:val="556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558"/>
    <w:link w:val="557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5"/>
    <w:next w:val="555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5"/>
    <w:next w:val="555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5"/>
    <w:next w:val="55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5"/>
    <w:next w:val="555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5"/>
    <w:next w:val="555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5"/>
    <w:next w:val="555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5"/>
    <w:next w:val="555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5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5"/>
    <w:next w:val="555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8"/>
    <w:link w:val="406"/>
    <w:uiPriority w:val="10"/>
    <w:rPr>
      <w:sz w:val="48"/>
      <w:szCs w:val="48"/>
    </w:rPr>
  </w:style>
  <w:style w:type="paragraph" w:styleId="408">
    <w:name w:val="Subtitle"/>
    <w:basedOn w:val="555"/>
    <w:next w:val="555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8"/>
    <w:link w:val="408"/>
    <w:uiPriority w:val="11"/>
    <w:rPr>
      <w:sz w:val="24"/>
      <w:szCs w:val="24"/>
    </w:rPr>
  </w:style>
  <w:style w:type="paragraph" w:styleId="410">
    <w:name w:val="Quote"/>
    <w:basedOn w:val="555"/>
    <w:next w:val="555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5"/>
    <w:next w:val="555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character" w:styleId="414">
    <w:name w:val="Header Char"/>
    <w:basedOn w:val="558"/>
    <w:link w:val="562"/>
    <w:uiPriority w:val="99"/>
  </w:style>
  <w:style w:type="character" w:styleId="415">
    <w:name w:val="Footer Char"/>
    <w:basedOn w:val="558"/>
    <w:link w:val="563"/>
    <w:uiPriority w:val="99"/>
  </w:style>
  <w:style w:type="table" w:styleId="416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1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3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5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6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7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8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9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0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1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2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8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9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0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1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2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3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0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1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2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3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4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5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6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8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9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0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1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2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3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4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5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6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7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8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19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0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1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2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3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4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5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6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7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8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6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7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8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39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0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1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42">
    <w:name w:val="footnote text"/>
    <w:basedOn w:val="555"/>
    <w:link w:val="543"/>
    <w:uiPriority w:val="99"/>
    <w:semiHidden/>
    <w:unhideWhenUsed/>
    <w:rPr>
      <w:sz w:val="18"/>
    </w:rPr>
    <w:pPr>
      <w:spacing w:lineRule="auto" w:line="240" w:after="40"/>
    </w:pPr>
  </w:style>
  <w:style w:type="character" w:styleId="543">
    <w:name w:val="Footnote Text Char"/>
    <w:link w:val="542"/>
    <w:uiPriority w:val="99"/>
    <w:rPr>
      <w:sz w:val="18"/>
    </w:rPr>
  </w:style>
  <w:style w:type="character" w:styleId="544">
    <w:name w:val="footnote reference"/>
    <w:basedOn w:val="558"/>
    <w:uiPriority w:val="99"/>
    <w:unhideWhenUsed/>
    <w:rPr>
      <w:vertAlign w:val="superscript"/>
    </w:rPr>
  </w:style>
  <w:style w:type="paragraph" w:styleId="545">
    <w:name w:val="toc 1"/>
    <w:basedOn w:val="555"/>
    <w:next w:val="555"/>
    <w:uiPriority w:val="39"/>
    <w:unhideWhenUsed/>
    <w:pPr>
      <w:ind w:left="0" w:right="0" w:firstLine="0"/>
      <w:spacing w:after="57"/>
    </w:pPr>
  </w:style>
  <w:style w:type="paragraph" w:styleId="546">
    <w:name w:val="toc 2"/>
    <w:basedOn w:val="555"/>
    <w:next w:val="555"/>
    <w:uiPriority w:val="39"/>
    <w:unhideWhenUsed/>
    <w:pPr>
      <w:ind w:left="283" w:right="0" w:firstLine="0"/>
      <w:spacing w:after="57"/>
    </w:pPr>
  </w:style>
  <w:style w:type="paragraph" w:styleId="547">
    <w:name w:val="toc 3"/>
    <w:basedOn w:val="555"/>
    <w:next w:val="555"/>
    <w:uiPriority w:val="39"/>
    <w:unhideWhenUsed/>
    <w:pPr>
      <w:ind w:left="567" w:right="0" w:firstLine="0"/>
      <w:spacing w:after="57"/>
    </w:pPr>
  </w:style>
  <w:style w:type="paragraph" w:styleId="548">
    <w:name w:val="toc 4"/>
    <w:basedOn w:val="555"/>
    <w:next w:val="555"/>
    <w:uiPriority w:val="39"/>
    <w:unhideWhenUsed/>
    <w:pPr>
      <w:ind w:left="850" w:right="0" w:firstLine="0"/>
      <w:spacing w:after="57"/>
    </w:pPr>
  </w:style>
  <w:style w:type="paragraph" w:styleId="549">
    <w:name w:val="toc 5"/>
    <w:basedOn w:val="555"/>
    <w:next w:val="555"/>
    <w:uiPriority w:val="39"/>
    <w:unhideWhenUsed/>
    <w:pPr>
      <w:ind w:left="1134" w:right="0" w:firstLine="0"/>
      <w:spacing w:after="57"/>
    </w:pPr>
  </w:style>
  <w:style w:type="paragraph" w:styleId="550">
    <w:name w:val="toc 6"/>
    <w:basedOn w:val="555"/>
    <w:next w:val="555"/>
    <w:uiPriority w:val="39"/>
    <w:unhideWhenUsed/>
    <w:pPr>
      <w:ind w:left="1417" w:right="0" w:firstLine="0"/>
      <w:spacing w:after="57"/>
    </w:pPr>
  </w:style>
  <w:style w:type="paragraph" w:styleId="551">
    <w:name w:val="toc 7"/>
    <w:basedOn w:val="555"/>
    <w:next w:val="555"/>
    <w:uiPriority w:val="39"/>
    <w:unhideWhenUsed/>
    <w:pPr>
      <w:ind w:left="1701" w:right="0" w:firstLine="0"/>
      <w:spacing w:after="57"/>
    </w:pPr>
  </w:style>
  <w:style w:type="paragraph" w:styleId="552">
    <w:name w:val="toc 8"/>
    <w:basedOn w:val="555"/>
    <w:next w:val="555"/>
    <w:uiPriority w:val="39"/>
    <w:unhideWhenUsed/>
    <w:pPr>
      <w:ind w:left="1984" w:right="0" w:firstLine="0"/>
      <w:spacing w:after="57"/>
    </w:pPr>
  </w:style>
  <w:style w:type="paragraph" w:styleId="553">
    <w:name w:val="toc 9"/>
    <w:basedOn w:val="555"/>
    <w:next w:val="555"/>
    <w:uiPriority w:val="39"/>
    <w:unhideWhenUsed/>
    <w:pPr>
      <w:ind w:left="2268" w:right="0" w:firstLine="0"/>
      <w:spacing w:after="57"/>
    </w:pPr>
  </w:style>
  <w:style w:type="paragraph" w:styleId="554">
    <w:name w:val="TOC Heading"/>
    <w:uiPriority w:val="39"/>
    <w:unhideWhenUsed/>
  </w:style>
  <w:style w:type="paragraph" w:styleId="555" w:default="1">
    <w:name w:val="Normal"/>
    <w:qFormat/>
    <w:rPr>
      <w:sz w:val="24"/>
      <w:szCs w:val="24"/>
      <w:lang w:val="ru-RU" w:eastAsia="ru-RU"/>
    </w:rPr>
  </w:style>
  <w:style w:type="paragraph" w:styleId="556">
    <w:name w:val="Heading 1"/>
    <w:basedOn w:val="555"/>
    <w:next w:val="555"/>
    <w:link w:val="571"/>
    <w:qFormat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557">
    <w:name w:val="Heading 2"/>
    <w:basedOn w:val="555"/>
    <w:next w:val="555"/>
    <w:link w:val="572"/>
    <w:qFormat/>
    <w:rPr>
      <w:rFonts w:ascii="Arial" w:hAnsi="Arial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 w:customStyle="1">
    <w:name w:val="Стиль Заголовок 2 + 14 пт Коричневый"/>
    <w:basedOn w:val="557"/>
    <w:rPr>
      <w:i w:val="false"/>
      <w:iCs w:val="false"/>
      <w:caps/>
      <w:color w:val="993300"/>
      <w:lang w:val="uk-UA"/>
    </w:rPr>
    <w:pPr>
      <w:jc w:val="center"/>
      <w:spacing w:after="0" w:before="0"/>
    </w:pPr>
  </w:style>
  <w:style w:type="paragraph" w:styleId="562">
    <w:name w:val="Header"/>
    <w:basedOn w:val="555"/>
    <w:pPr>
      <w:tabs>
        <w:tab w:val="center" w:pos="4677" w:leader="none"/>
        <w:tab w:val="right" w:pos="9355" w:leader="none"/>
      </w:tabs>
    </w:pPr>
  </w:style>
  <w:style w:type="paragraph" w:styleId="563">
    <w:name w:val="Footer"/>
    <w:basedOn w:val="555"/>
    <w:pPr>
      <w:tabs>
        <w:tab w:val="center" w:pos="4677" w:leader="none"/>
        <w:tab w:val="right" w:pos="9355" w:leader="none"/>
      </w:tabs>
    </w:pPr>
  </w:style>
  <w:style w:type="paragraph" w:styleId="564" w:customStyle="1">
    <w:name w:val="Знак Знак Знак Знак1 Знак Знак Знак"/>
    <w:basedOn w:val="555"/>
    <w:rPr>
      <w:rFonts w:ascii="Verdana" w:hAnsi="Verdana" w:cs="Verdana"/>
      <w:sz w:val="20"/>
      <w:szCs w:val="20"/>
      <w:lang w:val="en-US" w:eastAsia="en-US"/>
    </w:rPr>
  </w:style>
  <w:style w:type="paragraph" w:styleId="565">
    <w:name w:val="Normal (Web)"/>
    <w:basedOn w:val="555"/>
    <w:pPr>
      <w:spacing w:after="100" w:afterAutospacing="1" w:before="100" w:beforeAutospacing="1"/>
    </w:pPr>
  </w:style>
  <w:style w:type="paragraph" w:styleId="566">
    <w:name w:val="Body Text"/>
    <w:basedOn w:val="555"/>
    <w:link w:val="567"/>
    <w:rPr>
      <w:sz w:val="28"/>
      <w:szCs w:val="28"/>
    </w:rPr>
    <w:pPr>
      <w:jc w:val="both"/>
    </w:pPr>
  </w:style>
  <w:style w:type="character" w:styleId="567" w:customStyle="1">
    <w:name w:val="Основний текст Знак"/>
    <w:link w:val="566"/>
    <w:rPr>
      <w:sz w:val="28"/>
      <w:szCs w:val="28"/>
      <w:lang w:eastAsia="ru-RU"/>
    </w:rPr>
  </w:style>
  <w:style w:type="paragraph" w:styleId="568">
    <w:name w:val="Balloon Text"/>
    <w:basedOn w:val="555"/>
    <w:link w:val="569"/>
    <w:rPr>
      <w:rFonts w:ascii="Tahoma" w:hAnsi="Tahoma"/>
      <w:sz w:val="16"/>
      <w:szCs w:val="16"/>
    </w:rPr>
  </w:style>
  <w:style w:type="character" w:styleId="569" w:customStyle="1">
    <w:name w:val="Текст у виносці Знак"/>
    <w:link w:val="568"/>
    <w:rPr>
      <w:rFonts w:ascii="Tahoma" w:hAnsi="Tahoma" w:cs="Tahoma"/>
      <w:sz w:val="16"/>
      <w:szCs w:val="16"/>
      <w:lang w:val="ru-RU" w:eastAsia="ru-RU"/>
    </w:rPr>
  </w:style>
  <w:style w:type="character" w:styleId="570">
    <w:name w:val="Hyperlink"/>
    <w:rPr>
      <w:color w:val="0000FF"/>
      <w:u w:val="single"/>
    </w:rPr>
  </w:style>
  <w:style w:type="character" w:styleId="571" w:customStyle="1">
    <w:name w:val="Заголовок 1 Знак"/>
    <w:link w:val="556"/>
    <w:rPr>
      <w:rFonts w:ascii="Arial" w:hAnsi="Arial" w:cs="Arial"/>
      <w:b/>
      <w:bCs/>
      <w:sz w:val="32"/>
      <w:szCs w:val="32"/>
      <w:lang w:val="ru-RU" w:eastAsia="ru-RU"/>
    </w:rPr>
  </w:style>
  <w:style w:type="character" w:styleId="572" w:customStyle="1">
    <w:name w:val="Заголовок 2 Знак"/>
    <w:link w:val="55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573">
    <w:name w:val="Body Text Indent 3"/>
    <w:basedOn w:val="555"/>
    <w:link w:val="574"/>
    <w:rPr>
      <w:bCs/>
      <w:lang w:val="uk-UA"/>
    </w:rPr>
    <w:pPr>
      <w:ind w:firstLine="720"/>
      <w:jc w:val="both"/>
    </w:pPr>
  </w:style>
  <w:style w:type="character" w:styleId="574" w:customStyle="1">
    <w:name w:val="Основний текст з відступом 3 Знак"/>
    <w:link w:val="573"/>
    <w:rPr>
      <w:bCs/>
      <w:sz w:val="24"/>
      <w:szCs w:val="24"/>
      <w:lang w:val="uk-UA"/>
    </w:rPr>
  </w:style>
  <w:style w:type="character" w:styleId="575" w:customStyle="1">
    <w:name w:val="Font Style14"/>
    <w:rPr>
      <w:rFonts w:ascii="Times New Roman" w:hAnsi="Times New Roman" w:cs="Times New Roman" w:hint="default"/>
      <w:sz w:val="24"/>
      <w:szCs w:val="24"/>
    </w:rPr>
  </w:style>
  <w:style w:type="paragraph" w:styleId="576" w:customStyle="1">
    <w:name w:val="Style8"/>
    <w:basedOn w:val="555"/>
    <w:pPr>
      <w:ind w:firstLine="701"/>
      <w:jc w:val="both"/>
      <w:spacing w:lineRule="exact" w:line="325"/>
      <w:widowControl w:val="off"/>
    </w:pPr>
  </w:style>
  <w:style w:type="paragraph" w:styleId="577">
    <w:name w:val="Обычный"/>
    <w:rPr>
      <w:rFonts w:ascii="Times New Roman" w:hAnsi="Times New Roman" w:cs="Calibri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78">
    <w:name w:val="Заголовок 1"/>
    <w:rPr>
      <w:rFonts w:ascii="Times New Roman" w:hAnsi="Times New Roman" w:cs="Calibri" w:eastAsia="Times New Roman" w:hint="default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32"/>
      <w:szCs w:val="22"/>
      <w:u w:val="none"/>
      <w:vertAlign w:val="baseline"/>
      <w:rtl w:val="false"/>
      <w:cs w:val="false"/>
      <w:lang w:val="uk-UA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579">
    <w:name w:val="Титулка"/>
    <w:rPr>
      <w:rFonts w:ascii="Times New Roman" w:hAnsi="Times New Roman" w:cs="Calibri" w:eastAsia="Times New Roman" w:hint="default"/>
      <w:b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uk-UA" w:bidi="hi-IN" w:eastAsia="hi-IN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color="auto" w:fill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Adminov Admin </cp:lastModifiedBy>
  <cp:revision>9</cp:revision>
  <dcterms:created xsi:type="dcterms:W3CDTF">2021-01-19T16:50:00Z</dcterms:created>
  <dcterms:modified xsi:type="dcterms:W3CDTF">2021-01-24T15:51:54Z</dcterms:modified>
</cp:coreProperties>
</file>