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0" t="0" r="9525" b="9525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ПРОЄКТ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709" w:leader="none"/>
          <w:tab w:val="left" w:pos="6946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грудня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2020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                    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м. 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Lucida Sans Unicode"/>
          <w:b/>
          <w:sz w:val="28"/>
          <w:szCs w:val="28"/>
          <w:lang w:val="ru-RU" w:bidi="hi-IN" w:eastAsia="hi-IN"/>
        </w:rPr>
      </w:pPr>
      <w:r>
        <w:rPr>
          <w:rFonts w:ascii="Times New Roman" w:hAnsi="Times New Roman" w:cs="Times New Roman" w:eastAsia="Lucida Sans Unicode"/>
          <w:b/>
          <w:sz w:val="28"/>
          <w:szCs w:val="28"/>
          <w:lang w:val="ru-RU" w:bidi="hi-IN" w:eastAsia="hi-IN"/>
        </w:rPr>
      </w:r>
      <w:r/>
    </w:p>
    <w:p>
      <w:pPr>
        <w:ind w:right="4960"/>
        <w:spacing w:lineRule="auto" w:line="240" w:after="0"/>
        <w:widowControl w:val="off"/>
        <w:tabs>
          <w:tab w:val="left" w:pos="8505" w:leader="none"/>
        </w:tabs>
        <w:rPr>
          <w:rFonts w:ascii="Times New Roman" w:hAnsi="Times New Roman" w:cs="Times New Roman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</w:rPr>
        <w:t xml:space="preserve">встановлення тарифів на поводження з побутовими відходами (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перевезення та захоронення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побутових відходів</w:t>
      </w:r>
      <w:r>
        <w:rPr>
          <w:rFonts w:ascii="Times New Roman" w:hAnsi="Times New Roman" w:cs="Times New Roman"/>
          <w:b/>
          <w:sz w:val="28"/>
          <w:szCs w:val="28"/>
        </w:rPr>
        <w:t xml:space="preserve">)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території м. Мена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Розглянувши </w:t>
      </w:r>
      <w:r>
        <w:rPr>
          <w:rFonts w:ascii="Times New Roman" w:hAnsi="Times New Roman" w:cs="Times New Roman"/>
          <w:sz w:val="28"/>
          <w:szCs w:val="28"/>
        </w:rPr>
        <w:t xml:space="preserve">звернення директора КП «</w:t>
      </w:r>
      <w:r>
        <w:rPr>
          <w:rFonts w:ascii="Times New Roman" w:hAnsi="Times New Roman" w:cs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Минця Р.В</w:t>
      </w:r>
      <w:r>
        <w:rPr>
          <w:rFonts w:ascii="Times New Roman" w:hAnsi="Times New Roman" w:cs="Times New Roman"/>
          <w:sz w:val="28"/>
          <w:szCs w:val="28"/>
        </w:rPr>
        <w:t xml:space="preserve">., к</w:t>
      </w:r>
      <w:r>
        <w:rPr>
          <w:rFonts w:ascii="Times New Roman" w:hAnsi="Times New Roman" w:cs="Times New Roman"/>
          <w:sz w:val="28"/>
          <w:szCs w:val="28"/>
        </w:rPr>
        <w:t xml:space="preserve">еруючись Порядком формування тарифів на </w:t>
      </w:r>
      <w:r>
        <w:rPr>
          <w:rFonts w:ascii="Times New Roman" w:hAnsi="Times New Roman" w:cs="Times New Roman"/>
          <w:sz w:val="28"/>
          <w:szCs w:val="28"/>
        </w:rPr>
        <w:t xml:space="preserve">послуги з поводженням з побутовими відходами</w:t>
      </w:r>
      <w:r>
        <w:rPr>
          <w:rFonts w:ascii="Times New Roman" w:hAnsi="Times New Roman" w:cs="Times New Roman"/>
          <w:sz w:val="28"/>
          <w:szCs w:val="28"/>
        </w:rPr>
        <w:t xml:space="preserve">, затверджен</w:t>
      </w:r>
      <w:r>
        <w:rPr>
          <w:rFonts w:ascii="Times New Roman" w:hAnsi="Times New Roman" w:cs="Times New Roman"/>
          <w:sz w:val="28"/>
          <w:szCs w:val="28"/>
        </w:rPr>
        <w:t xml:space="preserve"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остановою КМУ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1010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 xml:space="preserve">26 липня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06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hAnsi="Times New Roman" w:cs="Times New Roman"/>
          <w:sz w:val="28"/>
          <w:szCs w:val="28"/>
        </w:rPr>
        <w:t xml:space="preserve">28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ч.6 ст. 59</w:t>
      </w:r>
      <w:r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ст. 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Закону України «Про житлово-комунальні послуги», </w:t>
      </w:r>
      <w:r>
        <w:rPr>
          <w:rFonts w:ascii="Times New Roman" w:hAnsi="Times New Roman" w:cs="Times New Roman"/>
          <w:sz w:val="28"/>
          <w:szCs w:val="28"/>
        </w:rPr>
        <w:t xml:space="preserve">виконавчий комітет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Встановити тарифи на послуги </w:t>
      </w:r>
      <w:r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 xml:space="preserve">поводження з побутовими від</w:t>
      </w:r>
      <w:r>
        <w:rPr>
          <w:rFonts w:ascii="Times New Roman" w:hAnsi="Times New Roman"/>
          <w:sz w:val="28"/>
          <w:szCs w:val="28"/>
        </w:rPr>
        <w:t xml:space="preserve">ходами (</w:t>
      </w:r>
      <w:r>
        <w:rPr>
          <w:rFonts w:ascii="Times New Roman" w:hAnsi="Times New Roman"/>
          <w:sz w:val="28"/>
          <w:szCs w:val="28"/>
        </w:rPr>
        <w:t xml:space="preserve">перевезення та захоронення побутових відходів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для споживачів на території </w:t>
      </w:r>
      <w:r>
        <w:rPr>
          <w:rFonts w:ascii="Times New Roman" w:hAnsi="Times New Roman"/>
          <w:sz w:val="28"/>
          <w:szCs w:val="28"/>
        </w:rPr>
        <w:t xml:space="preserve">м. Мена</w:t>
      </w:r>
      <w:r>
        <w:rPr>
          <w:rFonts w:ascii="Times New Roman" w:hAnsi="Times New Roman"/>
          <w:sz w:val="28"/>
          <w:szCs w:val="28"/>
        </w:rPr>
        <w:t xml:space="preserve">, які надає </w:t>
      </w:r>
      <w:r>
        <w:rPr>
          <w:rFonts w:ascii="Times New Roman" w:hAnsi="Times New Roman"/>
          <w:sz w:val="28"/>
          <w:szCs w:val="28"/>
        </w:rPr>
        <w:t xml:space="preserve">КП «</w:t>
      </w:r>
      <w:r>
        <w:rPr>
          <w:rFonts w:ascii="Times New Roman" w:hAnsi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/>
          <w:sz w:val="28"/>
          <w:szCs w:val="28"/>
        </w:rPr>
        <w:t xml:space="preserve">»,  в слідуючих розмірах: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поводження з побутовими відходами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перевезення побутових відходів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населення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83,83</w:t>
      </w:r>
      <w:r>
        <w:rPr>
          <w:rFonts w:ascii="Times New Roman" w:hAnsi="Times New Roman" w:cs="Times New Roman"/>
          <w:sz w:val="28"/>
          <w:szCs w:val="28"/>
        </w:rPr>
        <w:t xml:space="preserve"> грн. </w:t>
      </w:r>
      <w:r>
        <w:rPr>
          <w:rFonts w:ascii="Times New Roman" w:hAnsi="Times New Roman" w:cs="Times New Roman"/>
          <w:sz w:val="28"/>
          <w:szCs w:val="28"/>
        </w:rPr>
        <w:t xml:space="preserve">за 1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куб.</w:t>
      </w:r>
      <w:r>
        <w:rPr>
          <w:rFonts w:ascii="Times New Roman" w:hAnsi="Times New Roman" w:cs="Times New Roman"/>
          <w:sz w:val="28"/>
          <w:szCs w:val="28"/>
        </w:rPr>
        <w:t xml:space="preserve"> з ПДВ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бюд</w:t>
      </w:r>
      <w:r>
        <w:rPr>
          <w:rFonts w:ascii="Times New Roman" w:hAnsi="Times New Roman" w:cs="Times New Roman"/>
          <w:sz w:val="28"/>
          <w:szCs w:val="28"/>
        </w:rPr>
        <w:t xml:space="preserve">жетних установ та інших </w:t>
      </w:r>
      <w:r>
        <w:rPr>
          <w:rFonts w:ascii="Times New Roman" w:hAnsi="Times New Roman" w:cs="Times New Roman"/>
          <w:sz w:val="28"/>
          <w:szCs w:val="28"/>
        </w:rPr>
        <w:t xml:space="preserve">споживачів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122,96</w:t>
      </w:r>
      <w:r>
        <w:rPr>
          <w:rFonts w:ascii="Times New Roman" w:hAnsi="Times New Roman" w:cs="Times New Roman"/>
          <w:sz w:val="28"/>
          <w:szCs w:val="28"/>
        </w:rPr>
        <w:t xml:space="preserve"> грн. за 1 м. куб. з ПДВ.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поводження з побутовими відходами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(захоронення побутових відходів)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населення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16,17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1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куб.</w:t>
      </w:r>
      <w:r>
        <w:rPr>
          <w:rFonts w:ascii="Times New Roman" w:hAnsi="Times New Roman" w:cs="Times New Roman"/>
          <w:sz w:val="28"/>
          <w:szCs w:val="28"/>
        </w:rPr>
        <w:t xml:space="preserve"> з ПДВ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бюд</w:t>
      </w:r>
      <w:r>
        <w:rPr>
          <w:rFonts w:ascii="Times New Roman" w:hAnsi="Times New Roman" w:cs="Times New Roman"/>
          <w:sz w:val="28"/>
          <w:szCs w:val="28"/>
        </w:rPr>
        <w:t xml:space="preserve">жетних установ та інших </w:t>
      </w:r>
      <w:r>
        <w:rPr>
          <w:rFonts w:ascii="Times New Roman" w:hAnsi="Times New Roman" w:cs="Times New Roman"/>
          <w:sz w:val="28"/>
          <w:szCs w:val="28"/>
        </w:rPr>
        <w:t xml:space="preserve">споживачів</w:t>
      </w:r>
      <w:r>
        <w:rPr>
          <w:rFonts w:ascii="Times New Roman" w:hAnsi="Times New Roman" w:cs="Times New Roman"/>
          <w:sz w:val="28"/>
          <w:szCs w:val="28"/>
        </w:rPr>
        <w:tab/>
        <w:t xml:space="preserve">- 23,72 грн. за 1 м. куб. з ПДВ.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Вартість перевезення та захоронення твердих побутових відходів на одного мешканця будинку за один місяць (при нормі 0,15) становить 15,00 гривень.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2.Структура тарифу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поводження з побутовими відходами (</w:t>
      </w:r>
      <w:r>
        <w:rPr>
          <w:rFonts w:ascii="Times New Roman" w:hAnsi="Times New Roman" w:cs="Times New Roman"/>
          <w:sz w:val="28"/>
          <w:szCs w:val="28"/>
        </w:rPr>
        <w:t xml:space="preserve">перевезення побутових відходів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(додаток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та тарифу </w:t>
      </w:r>
      <w:r>
        <w:rPr>
          <w:rFonts w:ascii="Times New Roman" w:hAnsi="Times New Roman" w:cs="Times New Roman"/>
          <w:sz w:val="28"/>
          <w:szCs w:val="28"/>
        </w:rPr>
        <w:t xml:space="preserve">з поводження з побутовими відходами (захоронення побутових відходів) </w:t>
      </w:r>
      <w:r>
        <w:rPr>
          <w:rFonts w:ascii="Times New Roman" w:hAnsi="Times New Roman" w:cs="Times New Roman"/>
          <w:sz w:val="28"/>
          <w:szCs w:val="28"/>
        </w:rPr>
        <w:t xml:space="preserve">(додаток 2) </w:t>
      </w:r>
      <w:r>
        <w:rPr>
          <w:rFonts w:ascii="Times New Roman" w:hAnsi="Times New Roman" w:cs="Times New Roman"/>
          <w:sz w:val="28"/>
          <w:szCs w:val="28"/>
        </w:rPr>
        <w:t xml:space="preserve">по КП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додається.</w:t>
      </w:r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</w:t>
      </w:r>
      <w:r>
        <w:rPr>
          <w:rFonts w:ascii="Times New Roman" w:hAnsi="Times New Roman" w:cs="Times New Roman"/>
          <w:sz w:val="28"/>
          <w:szCs w:val="28"/>
        </w:rPr>
        <w:t xml:space="preserve">Встановлені </w:t>
      </w:r>
      <w:r>
        <w:rPr>
          <w:rFonts w:ascii="Times New Roman" w:hAnsi="Times New Roman" w:cs="Times New Roman"/>
          <w:sz w:val="28"/>
          <w:szCs w:val="28"/>
        </w:rPr>
        <w:t xml:space="preserve">тарифи на послуги з </w:t>
      </w:r>
      <w:r>
        <w:rPr>
          <w:rFonts w:ascii="Times New Roman" w:hAnsi="Times New Roman"/>
          <w:sz w:val="28"/>
          <w:szCs w:val="28"/>
        </w:rPr>
        <w:t xml:space="preserve">поводження з побутовими відходами (</w:t>
      </w:r>
      <w:r>
        <w:rPr>
          <w:rFonts w:ascii="Times New Roman" w:hAnsi="Times New Roman"/>
          <w:sz w:val="28"/>
          <w:szCs w:val="28"/>
        </w:rPr>
        <w:t xml:space="preserve">перевезення та захоронення побутових відходів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споживачів на території </w:t>
      </w:r>
      <w:r>
        <w:rPr>
          <w:rFonts w:ascii="Times New Roman" w:hAnsi="Times New Roman" w:cs="Times New Roman"/>
          <w:sz w:val="28"/>
          <w:szCs w:val="28"/>
        </w:rPr>
        <w:t xml:space="preserve">м. Мена</w:t>
      </w:r>
      <w:r>
        <w:rPr>
          <w:rFonts w:ascii="Times New Roman" w:hAnsi="Times New Roman" w:cs="Times New Roman"/>
          <w:sz w:val="28"/>
          <w:szCs w:val="28"/>
        </w:rPr>
        <w:t xml:space="preserve">, які надає </w:t>
      </w:r>
      <w:r>
        <w:rPr>
          <w:rFonts w:ascii="Times New Roman" w:hAnsi="Times New Roman" w:cs="Times New Roman"/>
          <w:sz w:val="28"/>
          <w:szCs w:val="28"/>
        </w:rPr>
        <w:t xml:space="preserve">КП «</w:t>
      </w:r>
      <w:r>
        <w:rPr>
          <w:rFonts w:ascii="Times New Roman" w:hAnsi="Times New Roman" w:cs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 вводяться в дію з </w:t>
      </w:r>
      <w:r>
        <w:rPr>
          <w:rFonts w:ascii="Times New Roman" w:hAnsi="Times New Roman" w:cs="Times New Roman"/>
          <w:sz w:val="28"/>
          <w:szCs w:val="28"/>
        </w:rPr>
        <w:t xml:space="preserve">01 </w:t>
      </w:r>
      <w:r>
        <w:rPr>
          <w:rFonts w:ascii="Times New Roman" w:hAnsi="Times New Roman" w:cs="Times New Roman"/>
          <w:sz w:val="28"/>
          <w:szCs w:val="28"/>
        </w:rPr>
        <w:t xml:space="preserve">січ</w:t>
      </w:r>
      <w:r>
        <w:rPr>
          <w:rFonts w:ascii="Times New Roman" w:hAnsi="Times New Roman" w:cs="Times New Roman"/>
          <w:sz w:val="28"/>
          <w:szCs w:val="28"/>
        </w:rPr>
        <w:t xml:space="preserve">ня 202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 року.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4.Оприлюднити дане рішення в газеті «Наше</w:t>
      </w:r>
      <w:r>
        <w:rPr>
          <w:rFonts w:ascii="Times New Roman" w:hAnsi="Times New Roman" w:cs="Times New Roman"/>
          <w:sz w:val="28"/>
          <w:szCs w:val="28"/>
        </w:rPr>
        <w:t xml:space="preserve"> слово»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  <w:r>
        <w:rPr>
          <w:rFonts w:ascii="Times New Roman" w:hAnsi="Times New Roman" w:cs="Times New Roman"/>
          <w:sz w:val="28"/>
          <w:szCs w:val="28"/>
        </w:rPr>
        <w:tab/>
      </w:r>
      <w:r/>
    </w:p>
    <w:p>
      <w:pPr>
        <w:ind w:left="0" w:right="0" w:firstLine="0"/>
        <w:jc w:val="both"/>
        <w:spacing w:lineRule="auto" w:line="240" w:after="0" w:before="0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5.Передбачити в проєкті бюджету Менської міської територіальної громади на 2021 рік кошти в сумі 470,00 тис. грн. (14 тис. м. куб. * 33,34 грн. за м. куб.) на відшкодування КП «Менакомунпослуга» Менської міської ради в 2021 році згідно Програми «Відшкодув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ання різниці в тарифах з послуги з перевезення та захоронення твердих побутових відходів для населення міста Мена на 2020 – 2022 роки», з винесенням даного питання про відшкодування різниці на сесію Менської міської ради.</w:t>
        <w:tab/>
      </w:r>
      <w:r/>
    </w:p>
    <w:p>
      <w:pPr>
        <w:jc w:val="both"/>
        <w:spacing w:lineRule="auto" w:line="240" w:after="0"/>
        <w:widowControl w:val="off"/>
        <w:tabs>
          <w:tab w:val="left" w:pos="709" w:leader="none"/>
        </w:tabs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6.</w:t>
      </w:r>
      <w:bookmarkStart w:id="0" w:name="_Hlk29984416"/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Контроль за виконанням рішення покласти на заступник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міського голови з питань діяльності виконкому міської ради.</w:t>
      </w:r>
      <w:bookmarkEnd w:id="0"/>
      <w:r/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/>
        <w:tabs>
          <w:tab w:val="left" w:pos="709" w:leader="none"/>
          <w:tab w:val="left" w:pos="6946" w:leader="none"/>
        </w:tabs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  <w:tab/>
        <w:t xml:space="preserve">Г.А. Примаков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/>
    </w:p>
    <w:p>
      <w:pPr>
        <w:ind w:left="6521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1 до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проєкту </w:t>
      </w:r>
      <w:r>
        <w:rPr>
          <w:rFonts w:ascii="Times New Roman" w:hAnsi="Times New Roman" w:cs="Times New Roman"/>
          <w:sz w:val="24"/>
          <w:szCs w:val="24"/>
        </w:rPr>
        <w:t xml:space="preserve">рішення виконавчого комітету </w:t>
      </w:r>
      <w:r>
        <w:rPr>
          <w:rFonts w:ascii="Times New Roman" w:hAnsi="Times New Roman" w:cs="Times New Roman"/>
          <w:sz w:val="24"/>
          <w:szCs w:val="24"/>
        </w:rPr>
        <w:t xml:space="preserve">Менської міської ради </w:t>
      </w:r>
      <w:r>
        <w:rPr>
          <w:rFonts w:ascii="Times New Roman" w:hAnsi="Times New Roman" w:cs="Times New Roman"/>
          <w:sz w:val="24"/>
          <w:szCs w:val="24"/>
        </w:rPr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 грудня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року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тарифу з поводження з побутовими відходами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перевезення </w:t>
      </w:r>
      <w:r>
        <w:rPr>
          <w:rFonts w:ascii="Times New Roman" w:hAnsi="Times New Roman" w:cs="Times New Roman"/>
          <w:sz w:val="28"/>
          <w:szCs w:val="28"/>
        </w:rPr>
        <w:t xml:space="preserve">побутов</w:t>
      </w:r>
      <w:r>
        <w:rPr>
          <w:rFonts w:ascii="Times New Roman" w:hAnsi="Times New Roman" w:cs="Times New Roman"/>
          <w:sz w:val="28"/>
          <w:szCs w:val="28"/>
        </w:rPr>
        <w:t xml:space="preserve">их</w:t>
      </w:r>
      <w:r>
        <w:rPr>
          <w:rFonts w:ascii="Times New Roman" w:hAnsi="Times New Roman" w:cs="Times New Roman"/>
          <w:sz w:val="28"/>
          <w:szCs w:val="28"/>
        </w:rPr>
        <w:t xml:space="preserve"> відход</w:t>
      </w:r>
      <w:r>
        <w:rPr>
          <w:rFonts w:ascii="Times New Roman" w:hAnsi="Times New Roman" w:cs="Times New Roman"/>
          <w:sz w:val="28"/>
          <w:szCs w:val="28"/>
        </w:rPr>
        <w:t xml:space="preserve">ів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/>
    </w:p>
    <w:tbl>
      <w:tblPr>
        <w:tblStyle w:val="571"/>
        <w:tblW w:w="0" w:type="auto"/>
        <w:tblLook w:val="04A0" w:firstRow="1" w:lastRow="0" w:firstColumn="1" w:lastColumn="0" w:noHBand="0" w:noVBand="1"/>
      </w:tblPr>
      <w:tblGrid>
        <w:gridCol w:w="703"/>
        <w:gridCol w:w="4676"/>
        <w:gridCol w:w="2267"/>
        <w:gridCol w:w="1982"/>
      </w:tblGrid>
      <w:tr>
        <w:trPr/>
        <w:tc>
          <w:tcPr>
            <w:tcW w:w="70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</w:t>
            </w:r>
            <w:r/>
          </w:p>
        </w:tc>
        <w:tc>
          <w:tcPr>
            <w:tcW w:w="46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Найменування показників</w:t>
            </w:r>
            <w:r/>
          </w:p>
        </w:tc>
        <w:tc>
          <w:tcPr>
            <w:gridSpan w:val="2"/>
            <w:tcW w:w="42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Структура тарифів</w:t>
            </w:r>
            <w:r/>
          </w:p>
        </w:tc>
      </w:tr>
      <w:tr>
        <w:trPr/>
        <w:tc>
          <w:tcPr>
            <w:tcW w:w="70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22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грн. на рік</w:t>
            </w:r>
            <w:r/>
          </w:p>
        </w:tc>
        <w:tc>
          <w:tcPr>
            <w:tcW w:w="19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грн./м3</w:t>
            </w:r>
            <w:r/>
          </w:p>
        </w:tc>
      </w:tr>
      <w:tr>
        <w:trPr/>
        <w:tc>
          <w:tcPr>
            <w:tcW w:w="7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W w:w="46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Виробнича собівартість, у т. ч.</w:t>
            </w:r>
            <w:r/>
          </w:p>
        </w:tc>
        <w:tc>
          <w:tcPr>
            <w:tcW w:w="226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1 327 404,00</w:t>
            </w:r>
            <w:r/>
          </w:p>
        </w:tc>
        <w:tc>
          <w:tcPr>
            <w:tcW w:w="19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80,11</w:t>
            </w:r>
            <w:r/>
          </w:p>
        </w:tc>
      </w:tr>
      <w:tr>
        <w:trPr/>
        <w:tc>
          <w:tcPr>
            <w:tcW w:w="7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1.1</w:t>
            </w:r>
            <w:r/>
          </w:p>
        </w:tc>
        <w:tc>
          <w:tcPr>
            <w:tcW w:w="46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Прямі матеріальні витрати, у т. ч.</w:t>
            </w:r>
            <w:r/>
          </w:p>
        </w:tc>
        <w:tc>
          <w:tcPr>
            <w:tcW w:w="226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238 008,00</w:t>
            </w:r>
            <w:r/>
          </w:p>
        </w:tc>
        <w:tc>
          <w:tcPr>
            <w:tcW w:w="19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14,36</w:t>
            </w:r>
            <w:r/>
          </w:p>
        </w:tc>
      </w:tr>
      <w:tr>
        <w:trPr/>
        <w:tc>
          <w:tcPr>
            <w:tcW w:w="7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1.2</w:t>
            </w:r>
            <w:r/>
          </w:p>
        </w:tc>
        <w:tc>
          <w:tcPr>
            <w:tcW w:w="46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Прямі витрати на оплату праці</w:t>
            </w:r>
            <w:r/>
          </w:p>
        </w:tc>
        <w:tc>
          <w:tcPr>
            <w:tcW w:w="226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678 972,00</w:t>
            </w:r>
            <w:r/>
          </w:p>
        </w:tc>
        <w:tc>
          <w:tcPr>
            <w:tcW w:w="19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40,98</w:t>
            </w:r>
            <w:r/>
          </w:p>
        </w:tc>
      </w:tr>
      <w:tr>
        <w:trPr/>
        <w:tc>
          <w:tcPr>
            <w:tcW w:w="7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1.3</w:t>
            </w:r>
            <w:r/>
          </w:p>
        </w:tc>
        <w:tc>
          <w:tcPr>
            <w:tcW w:w="46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Інші прямі витрати, у т. ч.</w:t>
            </w:r>
            <w:r/>
          </w:p>
        </w:tc>
        <w:tc>
          <w:tcPr>
            <w:tcW w:w="226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344 812,00</w:t>
            </w:r>
            <w:r/>
          </w:p>
        </w:tc>
        <w:tc>
          <w:tcPr>
            <w:tcW w:w="19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20,81</w:t>
            </w:r>
            <w:r/>
          </w:p>
        </w:tc>
      </w:tr>
      <w:tr>
        <w:trPr/>
        <w:tc>
          <w:tcPr>
            <w:tcW w:w="7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1.4</w:t>
            </w:r>
            <w:r/>
          </w:p>
        </w:tc>
        <w:tc>
          <w:tcPr>
            <w:tcW w:w="46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Загальновиробничі витрати</w:t>
            </w:r>
            <w:r/>
          </w:p>
        </w:tc>
        <w:tc>
          <w:tcPr>
            <w:tcW w:w="226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65 612,00</w:t>
            </w:r>
            <w:r/>
          </w:p>
        </w:tc>
        <w:tc>
          <w:tcPr>
            <w:tcW w:w="19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3,96</w:t>
            </w:r>
            <w:r/>
          </w:p>
        </w:tc>
      </w:tr>
      <w:tr>
        <w:trPr/>
        <w:tc>
          <w:tcPr>
            <w:tcW w:w="7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W w:w="46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Адміністративні витрати</w:t>
            </w:r>
            <w:r/>
          </w:p>
        </w:tc>
        <w:tc>
          <w:tcPr>
            <w:tcW w:w="226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199 110,60</w:t>
            </w:r>
            <w:r/>
          </w:p>
        </w:tc>
        <w:tc>
          <w:tcPr>
            <w:tcW w:w="19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12,02</w:t>
            </w:r>
            <w:r/>
          </w:p>
        </w:tc>
      </w:tr>
      <w:tr>
        <w:trPr/>
        <w:tc>
          <w:tcPr>
            <w:tcW w:w="7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</w:t>
            </w:r>
            <w:r/>
          </w:p>
        </w:tc>
        <w:tc>
          <w:tcPr>
            <w:tcW w:w="46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Витрати на збут</w:t>
            </w:r>
            <w:r/>
          </w:p>
        </w:tc>
        <w:tc>
          <w:tcPr>
            <w:tcW w:w="226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17 000,00</w:t>
            </w:r>
            <w:r/>
          </w:p>
        </w:tc>
        <w:tc>
          <w:tcPr>
            <w:tcW w:w="19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1,03</w:t>
            </w:r>
            <w:r/>
          </w:p>
        </w:tc>
      </w:tr>
      <w:tr>
        <w:trPr/>
        <w:tc>
          <w:tcPr>
            <w:tcW w:w="7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/>
          </w:p>
        </w:tc>
        <w:tc>
          <w:tcPr>
            <w:tcW w:w="46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Інші операційні витрати</w:t>
            </w:r>
            <w:r/>
          </w:p>
        </w:tc>
        <w:tc>
          <w:tcPr>
            <w:tcW w:w="226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</w:t>
            </w:r>
            <w:r/>
          </w:p>
        </w:tc>
        <w:tc>
          <w:tcPr>
            <w:tcW w:w="46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Витрати фінансової діяльності</w:t>
            </w:r>
            <w:r/>
          </w:p>
        </w:tc>
        <w:tc>
          <w:tcPr>
            <w:tcW w:w="226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/>
          </w:p>
        </w:tc>
        <w:tc>
          <w:tcPr>
            <w:tcW w:w="46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Витрати операційної діяльності</w:t>
            </w:r>
            <w:r/>
          </w:p>
        </w:tc>
        <w:tc>
          <w:tcPr>
            <w:tcW w:w="226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1 543 514,60</w:t>
            </w:r>
            <w:r/>
          </w:p>
        </w:tc>
        <w:tc>
          <w:tcPr>
            <w:tcW w:w="19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93,15</w:t>
            </w:r>
            <w:r/>
          </w:p>
        </w:tc>
      </w:tr>
      <w:tr>
        <w:trPr/>
        <w:tc>
          <w:tcPr>
            <w:tcW w:w="7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</w:t>
            </w:r>
            <w:r/>
          </w:p>
        </w:tc>
        <w:tc>
          <w:tcPr>
            <w:tcW w:w="46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Обсяг реалізації, куб. м</w:t>
            </w:r>
            <w:r/>
          </w:p>
        </w:tc>
        <w:tc>
          <w:tcPr>
            <w:gridSpan w:val="2"/>
            <w:tcW w:w="424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16 570,00</w:t>
            </w:r>
            <w:r/>
          </w:p>
        </w:tc>
      </w:tr>
      <w:tr>
        <w:trPr/>
        <w:tc>
          <w:tcPr>
            <w:tcW w:w="7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</w:t>
            </w:r>
            <w:r/>
          </w:p>
        </w:tc>
        <w:tc>
          <w:tcPr>
            <w:tcW w:w="46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Тариф з поводження з побутовими відходами(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перевезення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населення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грн./м3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ПДВ</w:t>
            </w:r>
            <w:r/>
          </w:p>
        </w:tc>
        <w:tc>
          <w:tcPr>
            <w:gridSpan w:val="2"/>
            <w:tcW w:w="424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111,78</w:t>
            </w:r>
            <w:r/>
          </w:p>
        </w:tc>
      </w:tr>
      <w:tr>
        <w:trPr/>
        <w:tc>
          <w:tcPr>
            <w:tcW w:w="7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</w:t>
            </w:r>
            <w:r/>
          </w:p>
        </w:tc>
        <w:tc>
          <w:tcPr>
            <w:tcW w:w="46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Прибуток </w:t>
            </w:r>
            <w:r/>
          </w:p>
        </w:tc>
        <w:tc>
          <w:tcPr>
            <w:gridSpan w:val="2"/>
            <w:tcW w:w="424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9,32</w:t>
            </w:r>
            <w:r/>
          </w:p>
        </w:tc>
      </w:tr>
      <w:tr>
        <w:trPr/>
        <w:tc>
          <w:tcPr>
            <w:tcW w:w="7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</w:t>
            </w:r>
            <w:r/>
          </w:p>
        </w:tc>
        <w:tc>
          <w:tcPr>
            <w:tcW w:w="46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Тариф з поводження з побутовими відходами(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перевезення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інших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грн./м3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ПДВ</w:t>
            </w:r>
            <w:r/>
          </w:p>
        </w:tc>
        <w:tc>
          <w:tcPr>
            <w:gridSpan w:val="2"/>
            <w:tcW w:w="424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122,96</w:t>
            </w:r>
            <w:r/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/>
    </w:p>
    <w:p>
      <w:pPr>
        <w:ind w:left="6521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2 до </w:t>
      </w:r>
      <w:r>
        <w:rPr>
          <w:rFonts w:ascii="Times New Roman" w:hAnsi="Times New Roman" w:cs="Times New Roman"/>
          <w:sz w:val="24"/>
          <w:szCs w:val="24"/>
        </w:rPr>
        <w:t xml:space="preserve">проєкту </w:t>
      </w:r>
      <w:r>
        <w:rPr>
          <w:rFonts w:ascii="Times New Roman" w:hAnsi="Times New Roman" w:cs="Times New Roman"/>
          <w:sz w:val="24"/>
          <w:szCs w:val="24"/>
        </w:rPr>
        <w:t xml:space="preserve">рішення виконавчого комітету</w:t>
      </w:r>
      <w:r>
        <w:rPr>
          <w:rFonts w:ascii="Times New Roman" w:hAnsi="Times New Roman" w:cs="Times New Roman"/>
          <w:sz w:val="24"/>
          <w:szCs w:val="24"/>
        </w:rPr>
        <w:t xml:space="preserve"> Менської міської ради </w:t>
      </w:r>
      <w:r>
        <w:rPr>
          <w:rFonts w:ascii="Times New Roman" w:hAnsi="Times New Roman" w:cs="Times New Roman"/>
          <w:sz w:val="24"/>
          <w:szCs w:val="24"/>
        </w:rPr>
        <w:t xml:space="preserve"> від 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 грудня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року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тарифу з поводження з побутовими відходами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захоронення побутових відходів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tbl>
      <w:tblPr>
        <w:tblStyle w:val="571"/>
        <w:tblW w:w="0" w:type="auto"/>
        <w:tblLook w:val="04A0" w:firstRow="1" w:lastRow="0" w:firstColumn="1" w:lastColumn="0" w:noHBand="0" w:noVBand="1"/>
      </w:tblPr>
      <w:tblGrid>
        <w:gridCol w:w="704"/>
        <w:gridCol w:w="4676"/>
        <w:gridCol w:w="2267"/>
        <w:gridCol w:w="1981"/>
      </w:tblGrid>
      <w:tr>
        <w:trPr/>
        <w:tc>
          <w:tcPr>
            <w:tcW w:w="7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</w:t>
            </w:r>
            <w:r/>
          </w:p>
        </w:tc>
        <w:tc>
          <w:tcPr>
            <w:tcW w:w="46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Найменування показників</w:t>
            </w:r>
            <w:r/>
          </w:p>
        </w:tc>
        <w:tc>
          <w:tcPr>
            <w:gridSpan w:val="2"/>
            <w:tcW w:w="42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Структура тарифів</w:t>
            </w:r>
            <w:r/>
          </w:p>
        </w:tc>
      </w:tr>
      <w:tr>
        <w:trPr/>
        <w:tc>
          <w:tcPr>
            <w:tcW w:w="70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22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грн. на рік</w:t>
            </w:r>
            <w:r/>
          </w:p>
        </w:tc>
        <w:tc>
          <w:tcPr>
            <w:tcW w:w="19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грн./м3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W w:w="46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Виробнича собівартість, у т. ч.</w:t>
            </w:r>
            <w:r/>
          </w:p>
        </w:tc>
        <w:tc>
          <w:tcPr>
            <w:tcW w:w="226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375 300,00</w:t>
            </w:r>
            <w:r/>
          </w:p>
        </w:tc>
        <w:tc>
          <w:tcPr>
            <w:tcW w:w="198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15,63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1.1</w:t>
            </w:r>
            <w:r/>
          </w:p>
        </w:tc>
        <w:tc>
          <w:tcPr>
            <w:tcW w:w="46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Прямі матеріальні витрати</w:t>
            </w:r>
            <w:r/>
          </w:p>
        </w:tc>
        <w:tc>
          <w:tcPr>
            <w:tcW w:w="226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8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1.2</w:t>
            </w:r>
            <w:r/>
          </w:p>
        </w:tc>
        <w:tc>
          <w:tcPr>
            <w:tcW w:w="46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Прямі витрати на оплату праці</w:t>
            </w:r>
            <w:r/>
          </w:p>
        </w:tc>
        <w:tc>
          <w:tcPr>
            <w:tcW w:w="226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144 000,00</w:t>
            </w:r>
            <w:r/>
          </w:p>
        </w:tc>
        <w:tc>
          <w:tcPr>
            <w:tcW w:w="198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5,99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1.3</w:t>
            </w:r>
            <w:r/>
          </w:p>
        </w:tc>
        <w:tc>
          <w:tcPr>
            <w:tcW w:w="46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Інші прямі витрати, у т. ч.</w:t>
            </w:r>
            <w:r/>
          </w:p>
        </w:tc>
        <w:tc>
          <w:tcPr>
            <w:tcW w:w="226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31 680,00</w:t>
            </w:r>
            <w:r/>
          </w:p>
        </w:tc>
        <w:tc>
          <w:tcPr>
            <w:tcW w:w="198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1,32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1.4</w:t>
            </w:r>
            <w:r/>
          </w:p>
        </w:tc>
        <w:tc>
          <w:tcPr>
            <w:tcW w:w="46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Загальновиробничі витрати</w:t>
            </w:r>
            <w:r/>
          </w:p>
        </w:tc>
        <w:tc>
          <w:tcPr>
            <w:tcW w:w="226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199 620,00</w:t>
            </w:r>
            <w:r/>
          </w:p>
        </w:tc>
        <w:tc>
          <w:tcPr>
            <w:tcW w:w="198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8,32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W w:w="46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Адміністративні витрати</w:t>
            </w:r>
            <w:r/>
          </w:p>
        </w:tc>
        <w:tc>
          <w:tcPr>
            <w:tcW w:w="226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56 295,00</w:t>
            </w:r>
            <w:r/>
          </w:p>
        </w:tc>
        <w:tc>
          <w:tcPr>
            <w:tcW w:w="198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2,34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</w:t>
            </w:r>
            <w:r/>
          </w:p>
        </w:tc>
        <w:tc>
          <w:tcPr>
            <w:tcW w:w="46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Витрати на збут</w:t>
            </w:r>
            <w:r/>
          </w:p>
        </w:tc>
        <w:tc>
          <w:tcPr>
            <w:tcW w:w="226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8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/>
          </w:p>
        </w:tc>
        <w:tc>
          <w:tcPr>
            <w:tcW w:w="46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Інші операційні витрати</w:t>
            </w:r>
            <w:r/>
          </w:p>
        </w:tc>
        <w:tc>
          <w:tcPr>
            <w:tcW w:w="226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8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</w:t>
            </w:r>
            <w:r/>
          </w:p>
        </w:tc>
        <w:tc>
          <w:tcPr>
            <w:tcW w:w="46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Витрати фінансової діяльності</w:t>
            </w:r>
            <w:r/>
          </w:p>
        </w:tc>
        <w:tc>
          <w:tcPr>
            <w:tcW w:w="226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8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/>
          </w:p>
        </w:tc>
        <w:tc>
          <w:tcPr>
            <w:tcW w:w="46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Витрати операційної діяльності</w:t>
            </w:r>
            <w:r/>
          </w:p>
        </w:tc>
        <w:tc>
          <w:tcPr>
            <w:tcW w:w="226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431 595,00</w:t>
            </w:r>
            <w:r/>
          </w:p>
        </w:tc>
        <w:tc>
          <w:tcPr>
            <w:tcW w:w="198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17,97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</w:t>
            </w:r>
            <w:r/>
          </w:p>
        </w:tc>
        <w:tc>
          <w:tcPr>
            <w:tcW w:w="46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Обсяг реалізації, куб. м</w:t>
            </w:r>
            <w:r/>
          </w:p>
        </w:tc>
        <w:tc>
          <w:tcPr>
            <w:gridSpan w:val="2"/>
            <w:tcW w:w="424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24 023,00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</w:t>
            </w:r>
            <w:r/>
          </w:p>
        </w:tc>
        <w:tc>
          <w:tcPr>
            <w:tcW w:w="46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Тариф з поводження з побутовими відходами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захоронення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населення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грн./м3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ПДВ</w:t>
            </w:r>
            <w:r/>
          </w:p>
        </w:tc>
        <w:tc>
          <w:tcPr>
            <w:gridSpan w:val="2"/>
            <w:tcW w:w="424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21,56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</w:t>
            </w:r>
            <w:r/>
          </w:p>
        </w:tc>
        <w:tc>
          <w:tcPr>
            <w:tcW w:w="46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Прибуток </w:t>
            </w:r>
            <w:r/>
          </w:p>
        </w:tc>
        <w:tc>
          <w:tcPr>
            <w:gridSpan w:val="2"/>
            <w:tcW w:w="424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1,80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</w:t>
            </w:r>
            <w:r/>
          </w:p>
        </w:tc>
        <w:tc>
          <w:tcPr>
            <w:tcW w:w="46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Тариф з поводження з побутовими відходами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захоронення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інших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грн./м3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ПДВ</w:t>
            </w:r>
            <w:r/>
          </w:p>
        </w:tc>
        <w:tc>
          <w:tcPr>
            <w:gridSpan w:val="2"/>
            <w:tcW w:w="424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23,72</w:t>
            </w:r>
            <w:r/>
          </w:p>
        </w:tc>
      </w:tr>
    </w:tbl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/>
      <w:bookmarkStart w:id="1" w:name="_GoBack"/>
      <w:r/>
      <w:bookmarkEnd w:id="1"/>
      <w:r/>
      <w:r/>
    </w:p>
    <w:sectPr>
      <w:footnotePr/>
      <w:type w:val="nextPage"/>
      <w:pgSz w:w="11906" w:h="16838" w:orient="portrait"/>
      <w:pgMar w:top="1134" w:right="567" w:bottom="851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imes New Roman">
    <w:panose1 w:val="02020603050405020304"/>
  </w:font>
  <w:font w:name="Tahoma">
    <w:panose1 w:val="020B0604030504040204"/>
  </w:font>
  <w:font w:name="font329">
    <w:panose1 w:val="020B06090308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5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12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4">
    <w:name w:val="Heading 1"/>
    <w:basedOn w:val="564"/>
    <w:next w:val="564"/>
    <w:link w:val="39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5">
    <w:name w:val="Heading 1 Char"/>
    <w:basedOn w:val="565"/>
    <w:link w:val="394"/>
    <w:uiPriority w:val="9"/>
    <w:rPr>
      <w:rFonts w:ascii="Arial" w:hAnsi="Arial" w:cs="Arial" w:eastAsia="Arial"/>
      <w:sz w:val="40"/>
      <w:szCs w:val="40"/>
    </w:rPr>
  </w:style>
  <w:style w:type="paragraph" w:styleId="396">
    <w:name w:val="Heading 2"/>
    <w:basedOn w:val="564"/>
    <w:next w:val="564"/>
    <w:link w:val="3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7">
    <w:name w:val="Heading 2 Char"/>
    <w:basedOn w:val="565"/>
    <w:link w:val="396"/>
    <w:uiPriority w:val="9"/>
    <w:rPr>
      <w:rFonts w:ascii="Arial" w:hAnsi="Arial" w:cs="Arial" w:eastAsia="Arial"/>
      <w:sz w:val="34"/>
    </w:rPr>
  </w:style>
  <w:style w:type="paragraph" w:styleId="398">
    <w:name w:val="Heading 3"/>
    <w:basedOn w:val="564"/>
    <w:next w:val="564"/>
    <w:link w:val="3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9">
    <w:name w:val="Heading 3 Char"/>
    <w:basedOn w:val="565"/>
    <w:link w:val="398"/>
    <w:uiPriority w:val="9"/>
    <w:rPr>
      <w:rFonts w:ascii="Arial" w:hAnsi="Arial" w:cs="Arial" w:eastAsia="Arial"/>
      <w:sz w:val="30"/>
      <w:szCs w:val="30"/>
    </w:rPr>
  </w:style>
  <w:style w:type="paragraph" w:styleId="400">
    <w:name w:val="Heading 4"/>
    <w:basedOn w:val="564"/>
    <w:next w:val="564"/>
    <w:link w:val="40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1">
    <w:name w:val="Heading 4 Char"/>
    <w:basedOn w:val="565"/>
    <w:link w:val="400"/>
    <w:uiPriority w:val="9"/>
    <w:rPr>
      <w:rFonts w:ascii="Arial" w:hAnsi="Arial" w:cs="Arial" w:eastAsia="Arial"/>
      <w:b/>
      <w:bCs/>
      <w:sz w:val="26"/>
      <w:szCs w:val="26"/>
    </w:rPr>
  </w:style>
  <w:style w:type="paragraph" w:styleId="402">
    <w:name w:val="Heading 5"/>
    <w:basedOn w:val="564"/>
    <w:next w:val="564"/>
    <w:link w:val="4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3">
    <w:name w:val="Heading 5 Char"/>
    <w:basedOn w:val="565"/>
    <w:link w:val="402"/>
    <w:uiPriority w:val="9"/>
    <w:rPr>
      <w:rFonts w:ascii="Arial" w:hAnsi="Arial" w:cs="Arial" w:eastAsia="Arial"/>
      <w:b/>
      <w:bCs/>
      <w:sz w:val="24"/>
      <w:szCs w:val="24"/>
    </w:rPr>
  </w:style>
  <w:style w:type="paragraph" w:styleId="404">
    <w:name w:val="Heading 6"/>
    <w:basedOn w:val="564"/>
    <w:next w:val="564"/>
    <w:link w:val="40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5">
    <w:name w:val="Heading 6 Char"/>
    <w:basedOn w:val="565"/>
    <w:link w:val="404"/>
    <w:uiPriority w:val="9"/>
    <w:rPr>
      <w:rFonts w:ascii="Arial" w:hAnsi="Arial" w:cs="Arial" w:eastAsia="Arial"/>
      <w:b/>
      <w:bCs/>
      <w:sz w:val="22"/>
      <w:szCs w:val="22"/>
    </w:rPr>
  </w:style>
  <w:style w:type="paragraph" w:styleId="406">
    <w:name w:val="Heading 7"/>
    <w:basedOn w:val="564"/>
    <w:next w:val="564"/>
    <w:link w:val="40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7">
    <w:name w:val="Heading 7 Char"/>
    <w:basedOn w:val="565"/>
    <w:link w:val="4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8">
    <w:name w:val="Heading 8"/>
    <w:basedOn w:val="564"/>
    <w:next w:val="564"/>
    <w:link w:val="40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9">
    <w:name w:val="Heading 8 Char"/>
    <w:basedOn w:val="565"/>
    <w:link w:val="408"/>
    <w:uiPriority w:val="9"/>
    <w:rPr>
      <w:rFonts w:ascii="Arial" w:hAnsi="Arial" w:cs="Arial" w:eastAsia="Arial"/>
      <w:i/>
      <w:iCs/>
      <w:sz w:val="22"/>
      <w:szCs w:val="22"/>
    </w:rPr>
  </w:style>
  <w:style w:type="paragraph" w:styleId="410">
    <w:name w:val="Heading 9"/>
    <w:basedOn w:val="564"/>
    <w:next w:val="564"/>
    <w:link w:val="4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1">
    <w:name w:val="Heading 9 Char"/>
    <w:basedOn w:val="565"/>
    <w:link w:val="410"/>
    <w:uiPriority w:val="9"/>
    <w:rPr>
      <w:rFonts w:ascii="Arial" w:hAnsi="Arial" w:cs="Arial" w:eastAsia="Arial"/>
      <w:i/>
      <w:iCs/>
      <w:sz w:val="21"/>
      <w:szCs w:val="21"/>
    </w:rPr>
  </w:style>
  <w:style w:type="paragraph" w:styleId="412">
    <w:name w:val="No Spacing"/>
    <w:qFormat/>
    <w:uiPriority w:val="1"/>
    <w:pPr>
      <w:spacing w:lineRule="auto" w:line="240" w:after="0" w:before="0"/>
    </w:pPr>
  </w:style>
  <w:style w:type="paragraph" w:styleId="413">
    <w:name w:val="Title"/>
    <w:basedOn w:val="564"/>
    <w:next w:val="564"/>
    <w:link w:val="41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4">
    <w:name w:val="Title Char"/>
    <w:basedOn w:val="565"/>
    <w:link w:val="413"/>
    <w:uiPriority w:val="10"/>
    <w:rPr>
      <w:sz w:val="48"/>
      <w:szCs w:val="48"/>
    </w:rPr>
  </w:style>
  <w:style w:type="paragraph" w:styleId="415">
    <w:name w:val="Subtitle"/>
    <w:basedOn w:val="564"/>
    <w:next w:val="564"/>
    <w:link w:val="416"/>
    <w:qFormat/>
    <w:uiPriority w:val="11"/>
    <w:rPr>
      <w:sz w:val="24"/>
      <w:szCs w:val="24"/>
    </w:rPr>
    <w:pPr>
      <w:spacing w:after="200" w:before="200"/>
    </w:pPr>
  </w:style>
  <w:style w:type="character" w:styleId="416">
    <w:name w:val="Subtitle Char"/>
    <w:basedOn w:val="565"/>
    <w:link w:val="415"/>
    <w:uiPriority w:val="11"/>
    <w:rPr>
      <w:sz w:val="24"/>
      <w:szCs w:val="24"/>
    </w:rPr>
  </w:style>
  <w:style w:type="paragraph" w:styleId="417">
    <w:name w:val="Quote"/>
    <w:basedOn w:val="564"/>
    <w:next w:val="564"/>
    <w:link w:val="418"/>
    <w:qFormat/>
    <w:uiPriority w:val="29"/>
    <w:rPr>
      <w:i/>
    </w:rPr>
    <w:pPr>
      <w:ind w:left="720" w:right="720"/>
    </w:pPr>
  </w:style>
  <w:style w:type="character" w:styleId="418">
    <w:name w:val="Quote Char"/>
    <w:link w:val="417"/>
    <w:uiPriority w:val="29"/>
    <w:rPr>
      <w:i/>
    </w:rPr>
  </w:style>
  <w:style w:type="paragraph" w:styleId="419">
    <w:name w:val="Intense Quote"/>
    <w:basedOn w:val="564"/>
    <w:next w:val="564"/>
    <w:link w:val="420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0">
    <w:name w:val="Intense Quote Char"/>
    <w:link w:val="419"/>
    <w:uiPriority w:val="30"/>
    <w:rPr>
      <w:i/>
    </w:rPr>
  </w:style>
  <w:style w:type="paragraph" w:styleId="421">
    <w:name w:val="Header"/>
    <w:basedOn w:val="564"/>
    <w:link w:val="4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2">
    <w:name w:val="Header Char"/>
    <w:basedOn w:val="565"/>
    <w:link w:val="421"/>
    <w:uiPriority w:val="99"/>
  </w:style>
  <w:style w:type="paragraph" w:styleId="423">
    <w:name w:val="Footer"/>
    <w:basedOn w:val="564"/>
    <w:link w:val="4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4">
    <w:name w:val="Footer Char"/>
    <w:basedOn w:val="565"/>
    <w:link w:val="423"/>
    <w:uiPriority w:val="99"/>
  </w:style>
  <w:style w:type="table" w:styleId="425">
    <w:name w:val="Table Grid Light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">
    <w:name w:val="Plain Table 1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>
    <w:name w:val="Plain Table 2"/>
    <w:basedOn w:val="56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8">
    <w:name w:val="Plain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9">
    <w:name w:val="Plain Table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Plain Table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1">
    <w:name w:val="Grid Table 1 Light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4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3">
    <w:name w:val="Grid Table 4 - Accent 1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4">
    <w:name w:val="Grid Table 4 - Accent 2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5">
    <w:name w:val="Grid Table 4 - Accent 3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6">
    <w:name w:val="Grid Table 4 - Accent 4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7">
    <w:name w:val="Grid Table 4 - Accent 5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8">
    <w:name w:val="Grid Table 4 - Accent 6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9">
    <w:name w:val="Grid Table 5 Dark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3">
    <w:name w:val="Grid Table 5 Dark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6">
    <w:name w:val="Grid Table 6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7">
    <w:name w:val="Grid Table 6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8">
    <w:name w:val="Grid Table 6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9">
    <w:name w:val="Grid Table 6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0">
    <w:name w:val="Grid Table 6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1">
    <w:name w:val="Grid Table 6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2">
    <w:name w:val="Grid Table 6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3">
    <w:name w:val="Grid Table 7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8">
    <w:name w:val="List Table 2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9">
    <w:name w:val="List Table 2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0">
    <w:name w:val="List Table 2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1">
    <w:name w:val="List Table 2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2">
    <w:name w:val="List Table 2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3">
    <w:name w:val="List Table 2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4">
    <w:name w:val="List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5 Dark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6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6">
    <w:name w:val="List Table 6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7">
    <w:name w:val="List Table 6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8">
    <w:name w:val="List Table 6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9">
    <w:name w:val="List Table 6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0">
    <w:name w:val="List Table 6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1">
    <w:name w:val="List Table 6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2">
    <w:name w:val="List Table 7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3">
    <w:name w:val="List Table 7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4">
    <w:name w:val="List Table 7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5">
    <w:name w:val="List Table 7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6">
    <w:name w:val="List Table 7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7">
    <w:name w:val="List Table 7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8">
    <w:name w:val="List Table 7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9">
    <w:name w:val="Lined - Accent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Lined - Accent 1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1">
    <w:name w:val="Lined - Accent 2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2">
    <w:name w:val="Lined - Accent 3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3">
    <w:name w:val="Lined - Accent 4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4">
    <w:name w:val="Lined - Accent 5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5">
    <w:name w:val="Lined - Accent 6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6">
    <w:name w:val="Bordered &amp; Lined - Accent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7">
    <w:name w:val="Bordered &amp; Lined - Accent 1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8">
    <w:name w:val="Bordered &amp; Lined - Accent 2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9">
    <w:name w:val="Bordered &amp; Lined - Accent 3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0">
    <w:name w:val="Bordered &amp; Lined - Accent 4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1">
    <w:name w:val="Bordered &amp; Lined - Accent 5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2">
    <w:name w:val="Bordered &amp; Lined - Accent 6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3">
    <w:name w:val="Bordered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4">
    <w:name w:val="Bordered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5">
    <w:name w:val="Bordered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6">
    <w:name w:val="Bordered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7">
    <w:name w:val="Bordered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8">
    <w:name w:val="Bordered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9">
    <w:name w:val="Bordered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0">
    <w:name w:val="Hyperlink"/>
    <w:uiPriority w:val="99"/>
    <w:unhideWhenUsed/>
    <w:rPr>
      <w:color w:val="0000FF" w:themeColor="hyperlink"/>
      <w:u w:val="single"/>
    </w:rPr>
  </w:style>
  <w:style w:type="paragraph" w:styleId="551">
    <w:name w:val="footnote text"/>
    <w:basedOn w:val="564"/>
    <w:link w:val="552"/>
    <w:uiPriority w:val="99"/>
    <w:semiHidden/>
    <w:unhideWhenUsed/>
    <w:rPr>
      <w:sz w:val="18"/>
    </w:rPr>
    <w:pPr>
      <w:spacing w:lineRule="auto" w:line="240" w:after="40"/>
    </w:pPr>
  </w:style>
  <w:style w:type="character" w:styleId="552">
    <w:name w:val="Footnote Text Char"/>
    <w:link w:val="551"/>
    <w:uiPriority w:val="99"/>
    <w:rPr>
      <w:sz w:val="18"/>
    </w:rPr>
  </w:style>
  <w:style w:type="character" w:styleId="553">
    <w:name w:val="footnote reference"/>
    <w:basedOn w:val="565"/>
    <w:uiPriority w:val="99"/>
    <w:unhideWhenUsed/>
    <w:rPr>
      <w:vertAlign w:val="superscript"/>
    </w:rPr>
  </w:style>
  <w:style w:type="paragraph" w:styleId="554">
    <w:name w:val="toc 1"/>
    <w:basedOn w:val="564"/>
    <w:next w:val="564"/>
    <w:uiPriority w:val="39"/>
    <w:unhideWhenUsed/>
    <w:pPr>
      <w:ind w:left="0" w:right="0" w:firstLine="0"/>
      <w:spacing w:after="57"/>
    </w:pPr>
  </w:style>
  <w:style w:type="paragraph" w:styleId="555">
    <w:name w:val="toc 2"/>
    <w:basedOn w:val="564"/>
    <w:next w:val="564"/>
    <w:uiPriority w:val="39"/>
    <w:unhideWhenUsed/>
    <w:pPr>
      <w:ind w:left="283" w:right="0" w:firstLine="0"/>
      <w:spacing w:after="57"/>
    </w:pPr>
  </w:style>
  <w:style w:type="paragraph" w:styleId="556">
    <w:name w:val="toc 3"/>
    <w:basedOn w:val="564"/>
    <w:next w:val="564"/>
    <w:uiPriority w:val="39"/>
    <w:unhideWhenUsed/>
    <w:pPr>
      <w:ind w:left="567" w:right="0" w:firstLine="0"/>
      <w:spacing w:after="57"/>
    </w:pPr>
  </w:style>
  <w:style w:type="paragraph" w:styleId="557">
    <w:name w:val="toc 4"/>
    <w:basedOn w:val="564"/>
    <w:next w:val="564"/>
    <w:uiPriority w:val="39"/>
    <w:unhideWhenUsed/>
    <w:pPr>
      <w:ind w:left="850" w:right="0" w:firstLine="0"/>
      <w:spacing w:after="57"/>
    </w:pPr>
  </w:style>
  <w:style w:type="paragraph" w:styleId="558">
    <w:name w:val="toc 5"/>
    <w:basedOn w:val="564"/>
    <w:next w:val="564"/>
    <w:uiPriority w:val="39"/>
    <w:unhideWhenUsed/>
    <w:pPr>
      <w:ind w:left="1134" w:right="0" w:firstLine="0"/>
      <w:spacing w:after="57"/>
    </w:pPr>
  </w:style>
  <w:style w:type="paragraph" w:styleId="559">
    <w:name w:val="toc 6"/>
    <w:basedOn w:val="564"/>
    <w:next w:val="564"/>
    <w:uiPriority w:val="39"/>
    <w:unhideWhenUsed/>
    <w:pPr>
      <w:ind w:left="1417" w:right="0" w:firstLine="0"/>
      <w:spacing w:after="57"/>
    </w:pPr>
  </w:style>
  <w:style w:type="paragraph" w:styleId="560">
    <w:name w:val="toc 7"/>
    <w:basedOn w:val="564"/>
    <w:next w:val="564"/>
    <w:uiPriority w:val="39"/>
    <w:unhideWhenUsed/>
    <w:pPr>
      <w:ind w:left="1701" w:right="0" w:firstLine="0"/>
      <w:spacing w:after="57"/>
    </w:pPr>
  </w:style>
  <w:style w:type="paragraph" w:styleId="561">
    <w:name w:val="toc 8"/>
    <w:basedOn w:val="564"/>
    <w:next w:val="564"/>
    <w:uiPriority w:val="39"/>
    <w:unhideWhenUsed/>
    <w:pPr>
      <w:ind w:left="1984" w:right="0" w:firstLine="0"/>
      <w:spacing w:after="57"/>
    </w:pPr>
  </w:style>
  <w:style w:type="paragraph" w:styleId="562">
    <w:name w:val="toc 9"/>
    <w:basedOn w:val="564"/>
    <w:next w:val="564"/>
    <w:uiPriority w:val="39"/>
    <w:unhideWhenUsed/>
    <w:pPr>
      <w:ind w:left="2268" w:right="0" w:firstLine="0"/>
      <w:spacing w:after="57"/>
    </w:pPr>
  </w:style>
  <w:style w:type="paragraph" w:styleId="563">
    <w:name w:val="TOC Heading"/>
    <w:uiPriority w:val="39"/>
    <w:unhideWhenUsed/>
  </w:style>
  <w:style w:type="paragraph" w:styleId="564" w:default="1">
    <w:name w:val="Normal"/>
    <w:qFormat/>
    <w:rPr>
      <w:rFonts w:ascii="Calibri" w:hAnsi="Calibri" w:cs="font329" w:eastAsia="Calibri"/>
    </w:rPr>
  </w:style>
  <w:style w:type="character" w:styleId="565" w:default="1">
    <w:name w:val="Default Paragraph Font"/>
    <w:uiPriority w:val="1"/>
    <w:semiHidden/>
    <w:unhideWhenUsed/>
  </w:style>
  <w:style w:type="table" w:styleId="5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7" w:default="1">
    <w:name w:val="No List"/>
    <w:uiPriority w:val="99"/>
    <w:semiHidden/>
    <w:unhideWhenUsed/>
  </w:style>
  <w:style w:type="paragraph" w:styleId="568">
    <w:name w:val="Balloon Text"/>
    <w:basedOn w:val="564"/>
    <w:link w:val="56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69" w:customStyle="1">
    <w:name w:val="Текст у виносці Знак"/>
    <w:basedOn w:val="565"/>
    <w:link w:val="568"/>
    <w:uiPriority w:val="99"/>
    <w:semiHidden/>
    <w:rPr>
      <w:rFonts w:ascii="Tahoma" w:hAnsi="Tahoma" w:cs="Tahoma" w:eastAsia="Calibri"/>
      <w:sz w:val="16"/>
      <w:szCs w:val="16"/>
    </w:rPr>
  </w:style>
  <w:style w:type="paragraph" w:styleId="570">
    <w:name w:val="List Paragraph"/>
    <w:basedOn w:val="564"/>
    <w:qFormat/>
    <w:uiPriority w:val="34"/>
    <w:rPr>
      <w:rFonts w:cs="Times New Roman"/>
    </w:rPr>
    <w:pPr>
      <w:contextualSpacing w:val="true"/>
      <w:ind w:left="720"/>
    </w:pPr>
  </w:style>
  <w:style w:type="table" w:styleId="571">
    <w:name w:val="Table Grid"/>
    <w:basedOn w:val="566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Лойченко Наталія Олександрівна</cp:lastModifiedBy>
  <cp:revision>14</cp:revision>
  <dcterms:created xsi:type="dcterms:W3CDTF">2020-12-18T10:08:00Z</dcterms:created>
  <dcterms:modified xsi:type="dcterms:W3CDTF">2020-12-21T07:52:21Z</dcterms:modified>
</cp:coreProperties>
</file>