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(перша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16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8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8"/>
        <w:ind w:right="5035"/>
        <w:spacing w:lineRule="auto" w:line="240" w:after="142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 посаді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старост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8"/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Заслухавши пропозицію міського голови Примакова Г.А. про утворення на території Менської міської територіальної громади старостинських округів та затвердження на посадах старост новоутворених старостинських округів запропонованих міським головою осіб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метою забезпечення представництва інтересів жителів населених пунктів, що увійшли до складу Менської міської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територіальної громади,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еруючись Законом України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ст.10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Закону України «Про службу в органах місцевого самоврядування»,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ст. 54</w:t>
      </w:r>
      <w:r>
        <w:rPr>
          <w:rFonts w:ascii="Times New Roman" w:hAnsi="Times New Roman" w:cs="Times New Roman" w:eastAsia="Times New Roman"/>
          <w:b w:val="false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Про місцеве самоврядування в Україні»,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8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Утворити на території Менської міської ради 20 старостинських округів, а саме: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Бірківський старостинський округ з центром в с.Бірківка, що складається з села Бірківка;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Блистівський старостинський округ з центром в с.Блистова, що складається з сіл Блистова, Дерепівка;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Величківський старостинський округ з центром в с.Величківка, що складається з сіл Величківка, Вільне;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Волосківський старостинський округ з центром в с.Волосківці, що складається з сіл Волосківці, Степанівка;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Городищенський старостинський округ з центром в с.Городище, що складається з села Городище;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Данилівський старостинський округ з центром в с.Данилівка, що складається з сіл Данилівка та Веселе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Дягівський старостинський округ з центром в с.Дягова, що складається з села Дягова;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Киселівський старостинський округ з центром в с.Киселівка, що складається з сіл Киселівка, Комарівка, селища Прогрес;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Куковицький старостинський округ з центром в с.Куковичі, що складається з сіл Куковичі, Овчарівка, Загорівка, селища Куковицьке;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Лісківський старостинський округ з центром в с.Ліски, що складається з сіл Ліски, Майське, Максаки, Луки;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Макошинський старостинський округ з центром в смт.Макошине, що складається з селища міського типу Макошине, села Остапівка;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Осьмаківський старостинський округ з центром в с.Осьмаки, що складається з села Осьмаки;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Покровський старостинський округ з центром в с.Покровське, що складається з села Покровське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Садового старостинський округ з центром в селищі Садове, що складається з селища Садове, села Нові Броди;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Семенівський старостинський округ з центром в с.Семенівка, що складається з села Семенівка;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Синявський старостинський округ з центром в с.Синявка, що складається з села Синявка;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Слобідський старостинський округ з центром в с.Слобідка, що складається з села Слобідка;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Стольненський старостинський округ з центром в с.Стольне, що складається з сіл Стольне, Дмитрівка, Лазарівка, Чорногорці;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Ушнянський старостинський округ з центром в с.Ушня, що складається з сіл Ушня, Дібрівка;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9"/>
        </w:numPr>
        <w:ind w:left="0" w:right="0" w:firstLine="283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Феськівський старостинський округ з центром в с.Феськівка, що складається з села Феськівка.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283" w:right="0" w:firstLine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6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Затвердити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17 грудня 2020 року на посаді старост старостинських округів Менської міської ради наступних осіб: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Боюна Романа Анатолійовича - на посаді старости Бірківського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Ше</w:t>
      </w:r>
      <w:r>
        <w:rPr>
          <w:rFonts w:ascii="Times New Roman" w:hAnsi="Times New Roman" w:cs="Times New Roman" w:eastAsia="Times New Roman"/>
          <w:sz w:val="28"/>
        </w:rPr>
        <w:t xml:space="preserve">шу Юрія Вікторовича - на посаді старости Блистівського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Яковенко Тетяну Михайлівну - на посаді старости Величківського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Андрійченко Юрія Михайловича - на посаді старости Волосківського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Міщенко Тетяну Віталіївну - на посаді старости Городищенського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Скляр Володимира Віталійовича - на посаді старости Данилівського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Ковбасу Людмилу Петрівну - на посаді старости Садового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Бурка Наталію Миколаївну - на посаді старости Дягівського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Очковську Наталію Іванівну - на посаді старости Киселівського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Савченко Віталія Валентиновича - на посаді старости Куковицького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Стародуб Олену Миколаївну - на посаді старости Лісківського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Коваленко Романа Анатолійовича - на посаді старости Макошинського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Савченко Тетяну Василівну - на посаді старости Осьмаківського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Трубу Альону Володимирівну - на посаді старости Покровського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Біленького Володимира Дмитровича - на посаді старости Слобідського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Шишигу Дмитра Анатолійовича - на посаді старости Семенівського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Семко Наталію Михайлівну - на посаді старости Синявського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Пасічника Костянтина Володимировича - на посаді старости Стольненського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Пащенко Олександра Олексійовича - на посаді старости Ушнянського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0"/>
        </w:numPr>
        <w:ind w:left="0" w:right="0" w:firstLine="283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Хроп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ач Катерину Миколаївну - на посаді старости Феськівського 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283" w:right="0" w:firstLine="0"/>
        <w:jc w:val="both"/>
        <w:spacing w:lineRule="auto" w:line="240" w:after="0" w:before="0"/>
        <w:tabs>
          <w:tab w:val="left" w:pos="709" w:leader="none"/>
          <w:tab w:val="left" w:pos="161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6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</w:t>
      </w:r>
      <w:r>
        <w:rPr>
          <w:rFonts w:ascii="Times New Roman" w:hAnsi="Times New Roman" w:cs="Times New Roman" w:eastAsia="Times New Roman"/>
          <w:sz w:val="28"/>
        </w:rPr>
        <w:t xml:space="preserve">твердит</w:t>
      </w:r>
      <w:r>
        <w:rPr>
          <w:rFonts w:ascii="Times New Roman" w:hAnsi="Times New Roman" w:cs="Times New Roman" w:eastAsia="Times New Roman"/>
          <w:sz w:val="28"/>
        </w:rPr>
        <w:t xml:space="preserve">и Положення про старосту Менської міської ради згідно додатку 1 до даного рішення - додається.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 разі перебування старост Менської міської ради на момент затвердження на посаді, на іншій роботі, питання початку повноважень визначається розпорядженням міського голови.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68"/>
        </w:numPr>
        <w:ind w:left="0" w:right="0" w:firstLine="0"/>
        <w:jc w:val="both"/>
        <w:spacing w:lineRule="auto" w:line="240" w:after="0" w:before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нтроль за </w:t>
      </w:r>
      <w:r>
        <w:rPr>
          <w:rFonts w:ascii="Times New Roman" w:hAnsi="Times New Roman" w:cs="Times New Roman" w:eastAsia="Times New Roman"/>
          <w:sz w:val="28"/>
        </w:rPr>
        <w:t xml:space="preserve">виконанням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покласти на заступників міського голови з питань діяльності виконкому.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992" w:leader="none"/>
          <w:tab w:val="left" w:pos="566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  <w:tab/>
        <w:t xml:space="preserve">Г.А.Примаков</w:t>
      </w:r>
      <w:r>
        <w:rPr>
          <w:sz w:val="28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br w:type="page"/>
      </w:r>
      <w:r>
        <w:rPr>
          <w:sz w:val="28"/>
        </w:rPr>
      </w:r>
      <w:r/>
    </w:p>
    <w:p>
      <w:pPr>
        <w:ind w:left="6236" w:right="0" w:firstLine="0"/>
        <w:jc w:val="both"/>
        <w:spacing w:lineRule="auto" w:line="240" w:after="0" w:before="0"/>
        <w:tabs>
          <w:tab w:val="left" w:pos="6521" w:leader="none"/>
          <w:tab w:val="left" w:pos="11804" w:leader="none"/>
        </w:tabs>
        <w:rPr>
          <w:rFonts w:ascii="Times New Roman" w:hAnsi="Times New Roman" w:cs="Times New Roman" w:eastAsia="Times New Roman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Додаток до рішення 1 сесії міської ради 8 скликання від 16.12.2020 р. «Про затвердження на посаді старост» №11</w:t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ind w:left="0" w:right="0" w:firstLine="709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Положення про старосту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 Загальні положення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 про старосту (далі – Положення) розроблено відповідно до законів України «Про місцеве самоврядування в Україні» і визначає права і обов’язки старости, порядок його обрання та припинення повноважень, порядок звітування, відповідальність та інші пи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тання, пов’язані з діяльністю старости на території старостинського округу, як частини території Менської міської територіальної громади, утвореної відповідно діючаого законодавства України, на якій розташовані один або декілька населених пунктів (сіл, сел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ищ), крім адміністративного центру територіальної громади, визначена Менською міською радою з метою забезпечення представництва інтересів жителів такого населеного пункту (населених пунктів) старостою.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 та зміни до Положення затверджується рішенням Менської міської ради (далі – Рада).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Старостинські округи утворюються виключно на пленарних засіданнях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є виборною посадовою особою місцевого самоврядування, який представляє інтереси села (сіл), що входять до відповідного старостинського округу і набуває свого статусу у відповідності до Закону України «Про службу в органах місцевого самоврядування»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набуває статусу посадової особи місцевого самоврядування відповідно до Закону України «Про службу в органах місцевого самоврядування».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Правовий статус старости визначається Конституцією України, законами України "Про місцеве самоврядування в Україні", іншими законами України та цим Положенням.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діє лише на підставі, в межах повноважень та у спосіб, що передбачені Конституцією і законами України, у своїй діяльності керується Конституцією і законами України, актами Президента України, Кабінету Міністрів України, іншими нормативно-правовими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актами, цим Положенням, іншими рішеннями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Перелік старостинських округів Менської міської ради, в яких запроваджується посада старости, затверджується Менською міською радою. В населеному пункті, який є адміністративним центром Менською міської ради, посада старости не запроваджується.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не може мати інший представницький мандат, суміщати свою службову діяльність з іншою посадою, у тому числі на громадських засадах, займатися іншою оплачуваною (крім викладацької, наукової і творчої діяльності, медичної практики, інструкторської 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суддівської практики із спорту) або підприємницькою діяльністю.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Порядок організації роботи старости визначається Законом України «Про місцеве самоврядування в Україні», «Про службу в органах місцевого самоврядування» та іншими законами, а також цим Положенням.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 за посадою входить до складу виконавчого комітету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2"/>
        </w:numPr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здійснює свої повноваження на постійній основі.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72"/>
        </w:numPr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дотримується режиму роботи, правил внутрішнього розпорядку, діловодства встановлених Менською міською радою.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71"/>
        </w:numPr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Інформаційне, матеріально-технічне та фінансове забезпечення роботи </w:t>
      </w:r>
      <w:r>
        <w:rPr>
          <w:rFonts w:ascii="Times New Roman" w:hAnsi="Times New Roman" w:cs="Times New Roman" w:eastAsia="Times New Roman"/>
          <w:sz w:val="28"/>
        </w:rPr>
        <w:t xml:space="preserve">старости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здійснюється Менською міською радою.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 Обрання старости та строк його повноважень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sz w:val="28"/>
        </w:rPr>
        <w:t xml:space="preserve">Повноваження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старости починаються в порядку передбаченому чинним законодавством України та принесенням ним присяги такого змісту: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"Я, </w:t>
      </w:r>
      <w:r>
        <w:rPr>
          <w:rFonts w:ascii="Times New Roman" w:hAnsi="Times New Roman" w:cs="Times New Roman" w:eastAsia="Times New Roman"/>
          <w:i/>
          <w:color w:val="000000"/>
          <w:sz w:val="28"/>
          <w:u w:val="single"/>
        </w:rPr>
        <w:t xml:space="preserve">ПІБ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 Усвідомлюючи свою високу відповідальність, урочисто присягаю, що буду вірно служити громаді та народові України, неухильно дотримуватися Конституції України та законів України, сприяти втіленню їх у життя, охороняти  права, свободи і законні інтереси гром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адян, сумлінно виконувати свої посадові обов'язки".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Повноваження старости закінчуються з моменту вступу на цю посаду іншої особи, обраної на наступних місцевих виборах, крім випадків дострокового припинення його повноважень 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</w:t>
        <w:tab/>
        <w:t xml:space="preserve">Повноваження старости вважаються достроково припиненими на підставі ст. 79-1 Закону України «Про місцеве самоврядування в Україні» у разі: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його звернення з особистою заявою до міської ради про складення ним повноважень </w:t>
      </w:r>
      <w:hyperlink r:id="rId9" w:history="1">
        <w:r>
          <w:rPr>
            <w:rStyle w:val="690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стар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припинення громадянства України або виїзду на постійне проживання за межі України;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набуття громадянства іншої держави;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набрання законної сили обвинувальним вироком суду щодо нього;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набрання законної сили рішенням суду про притягнення його до відповідальності за правопорушення, пов’язане з корупцією, яким накладено стягнення у виді позбавлення права займати посади або займатися діяльністю, що пов’язана з виконанням функцій держави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або місцевого самоврядування;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набрання законної сили рішенням суду про визнання його недієздатним, безвісно відсутнім чи оголошення померлим;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його смерті.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2.3.</w:t>
        <w:tab/>
        <w:t xml:space="preserve">Повноваження </w:t>
      </w:r>
      <w:hyperlink r:id="rId10" w:history="1">
        <w:r>
          <w:rPr>
            <w:rStyle w:val="690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стар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ости можуть бути достроково припинені за рішенням Менської міської ради, якщо він порушує </w:t>
      </w:r>
      <w:hyperlink r:id="rId11" w:history="1">
        <w:r>
          <w:rPr>
            <w:rStyle w:val="690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Конституцію 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або закони України, права і свободи громадян, не забезпечує здійснення наданих йому повноважень. </w:t>
      </w:r>
      <w:r>
        <w:rPr>
          <w:rFonts w:ascii="Times New Roman" w:hAnsi="Times New Roman" w:cs="Times New Roman" w:eastAsia="Times New Roman"/>
          <w:sz w:val="28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дострокове припинення повноважень </w:t>
      </w:r>
      <w:hyperlink r:id="rId12" w:history="1">
        <w:r>
          <w:rPr>
            <w:rStyle w:val="690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стар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ости рада приймає таємним або відкритим голосуванням більшістю голосів від загального складу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br w:type="page"/>
      </w:r>
      <w:r/>
    </w:p>
    <w:p>
      <w:pPr>
        <w:ind w:left="0" w:right="0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Повноваження старости та організація його роботи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</w:t>
        <w:tab/>
        <w:t xml:space="preserve">На старосту покладаються такі завдання: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представництво інтересів жителів населених пунктів відповідного старостинського округу у виконавчих органах 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сприяння жителям населених пунктів відповідного старостинського округу у підготовці документів, що подаються до Менської міської ради та її виконавчих органів;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участь у підготовці проекту бюджету територіальної громади в частині фінансування програм, що реалізуються на території населених пунктів відповідного старостинського округу, а також проектів рішень, що стосуються майна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внесення пропозиції до виконавчого комітету  Менської міської ради з питань діяльності на території населених пунктів відповідного старостинського округу виконавчих органів Менської міської ради, підприємств, установ, організацій комунальної форми власн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ості та їхніх посадових осіб.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3.2. Староста також: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забезпечує виконання рішень органів місцевого самоврядування територіальної громади на території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здійснює інші обов’язки, визначені чинним законодавством та цим Положенням.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 Обов’язки старости: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додержуватися Конституції та законів України, актів Президента України, Кабінету Міністрів України, актів Менської міської ради, цього Положення та інших нормативно-правових актів, що визначають порядок його діяльності та взаємовідносини з Менською місь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кою радою, органами місцевого самоврядування та їхніми посадовими особами, громадою та її членами.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брати участь у засіданнях виконавчого комітету Менської міської ради. Виконувати доручення ради, її виконавчого комітету, міського голови, інформувати їх про виконання доручень;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брати участь в організації та проведенні зборів членів відповідної громади та у оформленні документів цих зборів, вносити пропозиції до порядку денного зборів. Організовувати виконання рішень зборів членів відповідної громади та здійснювати моніторинг 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виконання;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сприяти виконанню на території відповідних населених пунктів відповідного старостинського округу Менської міської ради, програм соціально-економічного та культурного розвитку, затверджених рішенням Менської міської ради, інших актів ради та її виконавчо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 комітету. Вносити до виконавчого комітету, інших виконавчих органів Менської міської ради пропозиції з цих питань.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вести прийом членів внутрішньої громади. Здійснювати моніторинг стану дотримання їхніх прав і законних інтересів у межах наданих повноважень;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вести облік та узагальнювати пропозиції членів внутрішньої громади з питань соціально-економічного та культурного розвитку відповідного населеного пункту Менської міської ради, соціального, побутового та транспортного обслуговування його жителів;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приймати від членів громади заяви, адресовані органам місцевого самоврядування Менської міської ради та їхнім посадовим особам, передавати їх за призначенням;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здійснювати моніторинг благоустрою відповідних населених пунктів старостинського округу, вживати заходів до його підтримання в належному стані;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9) здійснювати моніторинг за дотриманням на території відповідних населених пунктів старостинського округу Менської міської ради громадського порядку, станом виконанням встановлених рішеннями Менської міської ради Правил благоустрою;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10) контролювати дотримання правил використання об’єктів комунальної власності територіальної громади, що розташовані на території населених пунктів відповідного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11) сприяти органу (органам) самоорганізації населення відповідних населених пунктів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12) надавати практичну допомогу органам самоорганізації населення у виконанні ними своїх завдань та повноважень;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13) не допускати на території відповідних населених пунктів старостинського округу Менської міської ради дій чи бездіяльності, які можуть зашкодити інтересам територіальної громади та держави;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14) своєчасно надавати інформацію до Менської міської ради щодо об’єктів, які розташовані на території відповідного населеного пункту громади.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15) дотримуватися правил службової етики встановлених законодавчими актами України, актами  Менської міської ради та її органів;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16) виконувати поточні доручення Менської міської ради та її виконавчого комітету, міського голови, звітувати про їх виконання;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17) здійснювати нотаріальні дії, керуючись у своїй діяльності Законами України, Порядком вчинення нотаріальних дій посадовими особами органів місцевого самоврядування, в т.ч. вчиняти нотаріальні дії, передбачені частиною першою ст. 37 Закону України «Про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отаріат».;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18) видавати та завіряти підписом та печаткою довідки на території населених пунктів відповідного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19) </w:t>
      </w:r>
      <w:r>
        <w:rPr>
          <w:rFonts w:ascii="Times New Roman" w:hAnsi="Times New Roman" w:cs="Times New Roman" w:eastAsia="Times New Roman"/>
          <w:sz w:val="28"/>
        </w:rPr>
        <w:t xml:space="preserve">здійснювати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реєстрацію/зняття з реєстрації місця проживання/перебування осіб на території населених пунктів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20) посвідчувати довіреності осіб, які проживають на території населених пунктів, які входять до складу підпорядкованого старостинського округу, де немає нотаріусів, крім довіреностей на право розпорядження нерухомим майном, довіреності на управління і роз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порядження корпоративними правами та довіреностей на користування та розпорядження транспортними засобами, як посадових осіб органу місцевого самоврядування;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21) здійснювати отримання заяв та документів необхідних для надання адміністративної послуги;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22) здійснювати видачу результатів надання адміністративних послуг;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23) скріплювати номерною печаткою, документи, що підписуються старостою, видаються при наданні адміністративних послуг та засвідчувати копії інших документів у випадках передбачених законодавством.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 Староста має право: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офіційно представляти населення, яке проживає в населених пунктах старостинського округу, його членів в органах місцевого самоврядування Менської міської ради, брати участь з правом дорадчого голосу у пленарних засіданнях Менської міської ради, засіданн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ях її постійних та тимчасових комісій, на яких розглядаються питання, що зачіпають інтереси жителів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одержувати від органів місцевого самоврядування Менської міської ради та їхніх посадових осіб, а також від підприємств, установ, організацій комунальної форми власності, інститутів громадянського суспільства, що розташовані на території Менської міської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ради інформацію, документи та матеріали, що стосуються соціально-економічного та культурного розвитку населених пунктів старостинського округу;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погоджувати проекти рішень Менської міської ради та її виконавчого комітету щодо майна Менської міської ради, розташованого на території населених пунктів старостинського округу Менської міської 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вносити пропозиції до порядку денного засідань виконавчого комітету Менської міської ради з питань, які стосуються інтересів населених пунктів старостинського округу. Оголошувати на засіданнях виконавчого комітету тексти заяв та звернень відповідної вну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трішньої громади, її членів з питань, що стосуються інтересів внутрішньої громади чи інтересів Менської міської ради загалом;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порушувати у виконавчому комітеті Менської міської ради питання про необхідність проведення перевірок з питань, віднесених до компетенції ради та її органів, діяльності підприємств, установ і організацій розташованих на території відповідних населених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унктів старостинського округу Менської міської ради незалежно від форми власності;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6) вносити пропозиції щодо усунення недоліків і порушень керівникам підприємств, установ і організацій незалежно від форми власності, і органів, діяльність яких перевірялася відповідно до п. 5 цієї статті, а також органам, яким вони підпорядковані, порушув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ати питання про притягнення до відповідальності осіб, з вини яких сталося порушення;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7) пропонувати питання для розгляду органом (органами) самоорганізації населення відповідних населених пунктів старостинського округу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8) звертатися до державних та муніципальних правоохоронних органів у разі виявлення порушень громадського порядку на території відповідних населених пунктів старостинського округу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3.5. Організація роботи старости та забезпечення його діяльності та інші питання організації діяльності старости визначаються Менською міською радою та її виконавчим комітетом.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3.6. У разі неможливості старостою тимчасово здійснювати завдання та обов’язки, передбачені Положенням про старосту та окремими рішеннями міської ради, на території населених пунктів окремого старостинського округу, а також представляти інтереси жителів ци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населених пунктів, його завдання та обов’язки, в тому числі вчинення нотаріальних дій та здійснення реєстрації/зняття з реєстрації місця проживання/перебування осіб, а також представлення інтересів жителів цих територій, здійснює інша особа, яка перебува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є на посаді старости, що виконує завдання та обов’язки і представлення інтересів жителів населених пунктів іншого старостинського округу, відповідно до окремого розпорядження міського голови.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Підзвітність, підконтрольність та відповідальність старости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При здійсненні наданих повноважень староста є підзвітним, підконтрольним і відповідальним перед жителями відповідних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населених пунктів старостинського округу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, відповідальним - перед Менською міською радою.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4.2. Староста не рідше одного разу на рік звітує про свою роботу перед жителями відповідних населених пунктів старостинського округу на відкритій зустрічі з громадянами. На вимогу не менше половини депутатів Менської міської ради староста інформує раду про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свою роботу.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V. Відповідальність старости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5.1. При здійсненні наданих повноважень староста є відповідальним перед Менською міською  радою та жителями відповідних населених пунктів старостинського округу.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5.2 Староста може бути притягнений до дисциплінарної, матеріальної, цивільної, адміністративної та кримінальної відповідальності, визначеної законом.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5.3. Шкода, заподіяна юридичним і фізичним особам в результаті неправомірних рішень, дій або бездіяльності старости, відшкодовується за рахунок його власних коштів у порядку, встановленому законом. Спори про поновлення порушених прав юридичних і фізичних 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сіб, що виникають в результаті рішень, дій чи бездіяльності старости, вирішуються в судовому порядку.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32">
    <w:name w:val="Heading 1"/>
    <w:basedOn w:val="704"/>
    <w:next w:val="704"/>
    <w:link w:val="5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33">
    <w:name w:val="Heading 1 Char"/>
    <w:basedOn w:val="705"/>
    <w:link w:val="532"/>
    <w:uiPriority w:val="9"/>
    <w:rPr>
      <w:rFonts w:ascii="Arial" w:hAnsi="Arial" w:cs="Arial" w:eastAsia="Arial"/>
      <w:sz w:val="40"/>
      <w:szCs w:val="40"/>
    </w:rPr>
  </w:style>
  <w:style w:type="paragraph" w:styleId="534">
    <w:name w:val="Heading 2"/>
    <w:basedOn w:val="704"/>
    <w:next w:val="704"/>
    <w:link w:val="5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35">
    <w:name w:val="Heading 2 Char"/>
    <w:basedOn w:val="705"/>
    <w:link w:val="534"/>
    <w:uiPriority w:val="9"/>
    <w:rPr>
      <w:rFonts w:ascii="Arial" w:hAnsi="Arial" w:cs="Arial" w:eastAsia="Arial"/>
      <w:sz w:val="34"/>
    </w:rPr>
  </w:style>
  <w:style w:type="paragraph" w:styleId="536">
    <w:name w:val="Heading 3"/>
    <w:basedOn w:val="704"/>
    <w:next w:val="704"/>
    <w:link w:val="5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37">
    <w:name w:val="Heading 3 Char"/>
    <w:basedOn w:val="705"/>
    <w:link w:val="536"/>
    <w:uiPriority w:val="9"/>
    <w:rPr>
      <w:rFonts w:ascii="Arial" w:hAnsi="Arial" w:cs="Arial" w:eastAsia="Arial"/>
      <w:sz w:val="30"/>
      <w:szCs w:val="30"/>
    </w:rPr>
  </w:style>
  <w:style w:type="paragraph" w:styleId="538">
    <w:name w:val="Heading 4"/>
    <w:basedOn w:val="704"/>
    <w:next w:val="704"/>
    <w:link w:val="5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39">
    <w:name w:val="Heading 4 Char"/>
    <w:basedOn w:val="705"/>
    <w:link w:val="538"/>
    <w:uiPriority w:val="9"/>
    <w:rPr>
      <w:rFonts w:ascii="Arial" w:hAnsi="Arial" w:cs="Arial" w:eastAsia="Arial"/>
      <w:b/>
      <w:bCs/>
      <w:sz w:val="26"/>
      <w:szCs w:val="26"/>
    </w:rPr>
  </w:style>
  <w:style w:type="paragraph" w:styleId="540">
    <w:name w:val="Heading 5"/>
    <w:basedOn w:val="704"/>
    <w:next w:val="704"/>
    <w:link w:val="5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41">
    <w:name w:val="Heading 5 Char"/>
    <w:basedOn w:val="705"/>
    <w:link w:val="540"/>
    <w:uiPriority w:val="9"/>
    <w:rPr>
      <w:rFonts w:ascii="Arial" w:hAnsi="Arial" w:cs="Arial" w:eastAsia="Arial"/>
      <w:b/>
      <w:bCs/>
      <w:sz w:val="24"/>
      <w:szCs w:val="24"/>
    </w:rPr>
  </w:style>
  <w:style w:type="paragraph" w:styleId="542">
    <w:name w:val="Heading 6"/>
    <w:basedOn w:val="704"/>
    <w:next w:val="704"/>
    <w:link w:val="5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43">
    <w:name w:val="Heading 6 Char"/>
    <w:basedOn w:val="705"/>
    <w:link w:val="542"/>
    <w:uiPriority w:val="9"/>
    <w:rPr>
      <w:rFonts w:ascii="Arial" w:hAnsi="Arial" w:cs="Arial" w:eastAsia="Arial"/>
      <w:b/>
      <w:bCs/>
      <w:sz w:val="22"/>
      <w:szCs w:val="22"/>
    </w:rPr>
  </w:style>
  <w:style w:type="paragraph" w:styleId="544">
    <w:name w:val="Heading 7"/>
    <w:basedOn w:val="704"/>
    <w:next w:val="704"/>
    <w:link w:val="5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45">
    <w:name w:val="Heading 7 Char"/>
    <w:basedOn w:val="705"/>
    <w:link w:val="5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46">
    <w:name w:val="Heading 8"/>
    <w:basedOn w:val="704"/>
    <w:next w:val="704"/>
    <w:link w:val="5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47">
    <w:name w:val="Heading 8 Char"/>
    <w:basedOn w:val="705"/>
    <w:link w:val="546"/>
    <w:uiPriority w:val="9"/>
    <w:rPr>
      <w:rFonts w:ascii="Arial" w:hAnsi="Arial" w:cs="Arial" w:eastAsia="Arial"/>
      <w:i/>
      <w:iCs/>
      <w:sz w:val="22"/>
      <w:szCs w:val="22"/>
    </w:rPr>
  </w:style>
  <w:style w:type="paragraph" w:styleId="548">
    <w:name w:val="Heading 9"/>
    <w:basedOn w:val="704"/>
    <w:next w:val="704"/>
    <w:link w:val="5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9">
    <w:name w:val="Heading 9 Char"/>
    <w:basedOn w:val="705"/>
    <w:link w:val="548"/>
    <w:uiPriority w:val="9"/>
    <w:rPr>
      <w:rFonts w:ascii="Arial" w:hAnsi="Arial" w:cs="Arial" w:eastAsia="Arial"/>
      <w:i/>
      <w:iCs/>
      <w:sz w:val="21"/>
      <w:szCs w:val="21"/>
    </w:rPr>
  </w:style>
  <w:style w:type="paragraph" w:styleId="550">
    <w:name w:val="List Paragraph"/>
    <w:basedOn w:val="704"/>
    <w:qFormat/>
    <w:uiPriority w:val="34"/>
    <w:pPr>
      <w:contextualSpacing w:val="true"/>
      <w:ind w:left="720"/>
    </w:pPr>
  </w:style>
  <w:style w:type="paragraph" w:styleId="551">
    <w:name w:val="No Spacing"/>
    <w:qFormat/>
    <w:uiPriority w:val="1"/>
    <w:pPr>
      <w:spacing w:lineRule="auto" w:line="240" w:after="0" w:before="0"/>
    </w:pPr>
  </w:style>
  <w:style w:type="paragraph" w:styleId="552">
    <w:name w:val="Title"/>
    <w:basedOn w:val="704"/>
    <w:next w:val="704"/>
    <w:link w:val="5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3">
    <w:name w:val="Title Char"/>
    <w:basedOn w:val="705"/>
    <w:link w:val="552"/>
    <w:uiPriority w:val="10"/>
    <w:rPr>
      <w:sz w:val="48"/>
      <w:szCs w:val="48"/>
    </w:rPr>
  </w:style>
  <w:style w:type="paragraph" w:styleId="554">
    <w:name w:val="Subtitle"/>
    <w:basedOn w:val="704"/>
    <w:next w:val="704"/>
    <w:link w:val="555"/>
    <w:qFormat/>
    <w:uiPriority w:val="11"/>
    <w:rPr>
      <w:sz w:val="24"/>
      <w:szCs w:val="24"/>
    </w:rPr>
    <w:pPr>
      <w:spacing w:after="200" w:before="200"/>
    </w:pPr>
  </w:style>
  <w:style w:type="character" w:styleId="555">
    <w:name w:val="Subtitle Char"/>
    <w:basedOn w:val="705"/>
    <w:link w:val="554"/>
    <w:uiPriority w:val="11"/>
    <w:rPr>
      <w:sz w:val="24"/>
      <w:szCs w:val="24"/>
    </w:rPr>
  </w:style>
  <w:style w:type="paragraph" w:styleId="556">
    <w:name w:val="Quote"/>
    <w:basedOn w:val="704"/>
    <w:next w:val="704"/>
    <w:link w:val="557"/>
    <w:qFormat/>
    <w:uiPriority w:val="29"/>
    <w:rPr>
      <w:i/>
    </w:rPr>
    <w:pPr>
      <w:ind w:left="720" w:right="720"/>
    </w:pPr>
  </w:style>
  <w:style w:type="character" w:styleId="557">
    <w:name w:val="Quote Char"/>
    <w:link w:val="556"/>
    <w:uiPriority w:val="29"/>
    <w:rPr>
      <w:i/>
    </w:rPr>
  </w:style>
  <w:style w:type="paragraph" w:styleId="558">
    <w:name w:val="Intense Quote"/>
    <w:basedOn w:val="704"/>
    <w:next w:val="704"/>
    <w:link w:val="55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9">
    <w:name w:val="Intense Quote Char"/>
    <w:link w:val="558"/>
    <w:uiPriority w:val="30"/>
    <w:rPr>
      <w:i/>
    </w:rPr>
  </w:style>
  <w:style w:type="paragraph" w:styleId="560">
    <w:name w:val="Header"/>
    <w:basedOn w:val="704"/>
    <w:link w:val="5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61">
    <w:name w:val="Header Char"/>
    <w:basedOn w:val="705"/>
    <w:link w:val="560"/>
    <w:uiPriority w:val="99"/>
  </w:style>
  <w:style w:type="paragraph" w:styleId="562">
    <w:name w:val="Footer"/>
    <w:basedOn w:val="704"/>
    <w:link w:val="5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63">
    <w:name w:val="Footer Char"/>
    <w:basedOn w:val="705"/>
    <w:link w:val="562"/>
    <w:uiPriority w:val="99"/>
  </w:style>
  <w:style w:type="table" w:styleId="564">
    <w:name w:val="Table Grid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5">
    <w:name w:val="Table Grid Light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6">
    <w:name w:val="Plain Table 1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7">
    <w:name w:val="Plain Table 2"/>
    <w:basedOn w:val="7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8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69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71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Grid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Grid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Grid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Grid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Grid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Grid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2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2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2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2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2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2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3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3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3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3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3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3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93">
    <w:name w:val="Grid Table 4 - Accent 1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94">
    <w:name w:val="Grid Table 4 - Accent 2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95">
    <w:name w:val="Grid Table 4 - Accent 3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96">
    <w:name w:val="Grid Table 4 - Accent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97">
    <w:name w:val="Grid Table 4 - Accent 5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98">
    <w:name w:val="Grid Table 4 - Accent 6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99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600">
    <w:name w:val="Grid Table 5 Dark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601">
    <w:name w:val="Grid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602">
    <w:name w:val="Grid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603">
    <w:name w:val="Grid Table 5 Dark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604">
    <w:name w:val="Grid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605">
    <w:name w:val="Grid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606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07">
    <w:name w:val="Grid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08">
    <w:name w:val="Grid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09">
    <w:name w:val="Grid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10">
    <w:name w:val="Grid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11">
    <w:name w:val="Grid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12">
    <w:name w:val="Grid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13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Grid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Grid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Grid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Grid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Grid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Grid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21">
    <w:name w:val="List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22">
    <w:name w:val="List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23">
    <w:name w:val="List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24">
    <w:name w:val="List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25">
    <w:name w:val="List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26">
    <w:name w:val="List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27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28">
    <w:name w:val="List Table 2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29">
    <w:name w:val="List Table 2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30">
    <w:name w:val="List Table 2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31">
    <w:name w:val="List Table 2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32">
    <w:name w:val="List Table 2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33">
    <w:name w:val="List Table 2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34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List Table 3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List Table 3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3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>
    <w:name w:val="List Table 3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>
    <w:name w:val="List Table 3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List Table 3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List Table 4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List Table 4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List Table 4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List Table 4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List Table 4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List Table 4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9">
    <w:name w:val="List Table 5 Dark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0">
    <w:name w:val="List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1">
    <w:name w:val="List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2">
    <w:name w:val="List Table 5 Dark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3">
    <w:name w:val="List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4">
    <w:name w:val="List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5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6">
    <w:name w:val="List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57">
    <w:name w:val="List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58">
    <w:name w:val="List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59">
    <w:name w:val="List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60">
    <w:name w:val="List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61">
    <w:name w:val="List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62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63">
    <w:name w:val="List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64">
    <w:name w:val="List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65">
    <w:name w:val="List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66">
    <w:name w:val="List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67">
    <w:name w:val="List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68">
    <w:name w:val="List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69">
    <w:name w:val="Lined - Accent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70">
    <w:name w:val="Lined - Accent 1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71">
    <w:name w:val="Lined - Accent 2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72">
    <w:name w:val="Lined - Accent 3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73">
    <w:name w:val="Lined - Accent 4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74">
    <w:name w:val="Lined - Accent 5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75">
    <w:name w:val="Lined - Accent 6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76">
    <w:name w:val="Bordered &amp; Lined - Accent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77">
    <w:name w:val="Bordered &amp; Lined - Accent 1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78">
    <w:name w:val="Bordered &amp; Lined - Accent 2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79">
    <w:name w:val="Bordered &amp; Lined - Accent 3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80">
    <w:name w:val="Bordered &amp; Lined - Accent 4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81">
    <w:name w:val="Bordered &amp; Lined - Accent 5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82">
    <w:name w:val="Bordered &amp; Lined - Accent 6"/>
    <w:basedOn w:val="7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83">
    <w:name w:val="Bordered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84">
    <w:name w:val="Bordered - Accent 1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85">
    <w:name w:val="Bordered - Accent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86">
    <w:name w:val="Bordered - Accent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87">
    <w:name w:val="Bordered - Accent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88">
    <w:name w:val="Bordered - Accent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89">
    <w:name w:val="Bordered - Accent 6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90">
    <w:name w:val="Hyperlink"/>
    <w:uiPriority w:val="99"/>
    <w:unhideWhenUsed/>
    <w:rPr>
      <w:color w:val="0000FF" w:themeColor="hyperlink"/>
      <w:u w:val="single"/>
    </w:rPr>
  </w:style>
  <w:style w:type="paragraph" w:styleId="691">
    <w:name w:val="footnote text"/>
    <w:basedOn w:val="704"/>
    <w:link w:val="692"/>
    <w:uiPriority w:val="99"/>
    <w:semiHidden/>
    <w:unhideWhenUsed/>
    <w:rPr>
      <w:sz w:val="18"/>
    </w:rPr>
    <w:pPr>
      <w:spacing w:lineRule="auto" w:line="240" w:after="40"/>
    </w:pPr>
  </w:style>
  <w:style w:type="character" w:styleId="692">
    <w:name w:val="Footnote Text Char"/>
    <w:link w:val="691"/>
    <w:uiPriority w:val="99"/>
    <w:rPr>
      <w:sz w:val="18"/>
    </w:rPr>
  </w:style>
  <w:style w:type="character" w:styleId="693">
    <w:name w:val="footnote reference"/>
    <w:basedOn w:val="705"/>
    <w:uiPriority w:val="99"/>
    <w:unhideWhenUsed/>
    <w:rPr>
      <w:vertAlign w:val="superscript"/>
    </w:rPr>
  </w:style>
  <w:style w:type="paragraph" w:styleId="694">
    <w:name w:val="toc 1"/>
    <w:basedOn w:val="704"/>
    <w:next w:val="704"/>
    <w:uiPriority w:val="39"/>
    <w:unhideWhenUsed/>
    <w:pPr>
      <w:ind w:left="0" w:right="0" w:firstLine="0"/>
      <w:spacing w:after="57"/>
    </w:pPr>
  </w:style>
  <w:style w:type="paragraph" w:styleId="695">
    <w:name w:val="toc 2"/>
    <w:basedOn w:val="704"/>
    <w:next w:val="704"/>
    <w:uiPriority w:val="39"/>
    <w:unhideWhenUsed/>
    <w:pPr>
      <w:ind w:left="283" w:right="0" w:firstLine="0"/>
      <w:spacing w:after="57"/>
    </w:pPr>
  </w:style>
  <w:style w:type="paragraph" w:styleId="696">
    <w:name w:val="toc 3"/>
    <w:basedOn w:val="704"/>
    <w:next w:val="704"/>
    <w:uiPriority w:val="39"/>
    <w:unhideWhenUsed/>
    <w:pPr>
      <w:ind w:left="567" w:right="0" w:firstLine="0"/>
      <w:spacing w:after="57"/>
    </w:pPr>
  </w:style>
  <w:style w:type="paragraph" w:styleId="697">
    <w:name w:val="toc 4"/>
    <w:basedOn w:val="704"/>
    <w:next w:val="704"/>
    <w:uiPriority w:val="39"/>
    <w:unhideWhenUsed/>
    <w:pPr>
      <w:ind w:left="850" w:right="0" w:firstLine="0"/>
      <w:spacing w:after="57"/>
    </w:pPr>
  </w:style>
  <w:style w:type="paragraph" w:styleId="698">
    <w:name w:val="toc 5"/>
    <w:basedOn w:val="704"/>
    <w:next w:val="704"/>
    <w:uiPriority w:val="39"/>
    <w:unhideWhenUsed/>
    <w:pPr>
      <w:ind w:left="1134" w:right="0" w:firstLine="0"/>
      <w:spacing w:after="57"/>
    </w:pPr>
  </w:style>
  <w:style w:type="paragraph" w:styleId="699">
    <w:name w:val="toc 6"/>
    <w:basedOn w:val="704"/>
    <w:next w:val="704"/>
    <w:uiPriority w:val="39"/>
    <w:unhideWhenUsed/>
    <w:pPr>
      <w:ind w:left="1417" w:right="0" w:firstLine="0"/>
      <w:spacing w:after="57"/>
    </w:pPr>
  </w:style>
  <w:style w:type="paragraph" w:styleId="700">
    <w:name w:val="toc 7"/>
    <w:basedOn w:val="704"/>
    <w:next w:val="704"/>
    <w:uiPriority w:val="39"/>
    <w:unhideWhenUsed/>
    <w:pPr>
      <w:ind w:left="1701" w:right="0" w:firstLine="0"/>
      <w:spacing w:after="57"/>
    </w:pPr>
  </w:style>
  <w:style w:type="paragraph" w:styleId="701">
    <w:name w:val="toc 8"/>
    <w:basedOn w:val="704"/>
    <w:next w:val="704"/>
    <w:uiPriority w:val="39"/>
    <w:unhideWhenUsed/>
    <w:pPr>
      <w:ind w:left="1984" w:right="0" w:firstLine="0"/>
      <w:spacing w:after="57"/>
    </w:pPr>
  </w:style>
  <w:style w:type="paragraph" w:styleId="702">
    <w:name w:val="toc 9"/>
    <w:basedOn w:val="704"/>
    <w:next w:val="704"/>
    <w:uiPriority w:val="39"/>
    <w:unhideWhenUsed/>
    <w:pPr>
      <w:ind w:left="2268" w:right="0" w:firstLine="0"/>
      <w:spacing w:after="57"/>
    </w:pPr>
  </w:style>
  <w:style w:type="paragraph" w:styleId="703">
    <w:name w:val="TOC Heading"/>
    <w:uiPriority w:val="39"/>
    <w:unhideWhenUsed/>
  </w:style>
  <w:style w:type="paragraph" w:styleId="704" w:default="1">
    <w:name w:val="Normal"/>
    <w:qFormat/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>
    <w:name w:val="Звичайни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zakon2.rada.gov.ua/laws/show/280/97-%D0%B2%D1%80/page6?text=%F1%F2%E0%F0#w14" TargetMode="External"/><Relationship Id="rId10" Type="http://schemas.openxmlformats.org/officeDocument/2006/relationships/hyperlink" Target="http://zakon2.rada.gov.ua/laws/show/280/97-%D0%B2%D1%80/page6?text=%F1%F2%E0%F0#w15" TargetMode="External"/><Relationship Id="rId11" Type="http://schemas.openxmlformats.org/officeDocument/2006/relationships/hyperlink" Target="http://zakon2.rada.gov.ua/laws/show/254%D0%BA/96-%D0%B2%D1%80" TargetMode="External"/><Relationship Id="rId12" Type="http://schemas.openxmlformats.org/officeDocument/2006/relationships/hyperlink" Target="http://zakon2.rada.gov.ua/laws/show/280/97-%D0%B2%D1%80/page6?text=%F1%F2%E0%F0#w16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17</cp:revision>
  <dcterms:created xsi:type="dcterms:W3CDTF">2019-03-29T20:09:00Z</dcterms:created>
  <dcterms:modified xsi:type="dcterms:W3CDTF">2020-12-17T09:05:10Z</dcterms:modified>
</cp:coreProperties>
</file>