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ru-RU" w:bidi="hi-IN" w:eastAsia="hi-IN"/>
        </w:rPr>
        <w:t xml:space="preserve">ПРО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ru-RU" w:bidi="hi-IN" w:eastAsia="hi-IN"/>
        </w:rPr>
        <w:t xml:space="preserve">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ru-RU" w:bidi="hi-IN" w:eastAsia="hi-IN"/>
        </w:rPr>
        <w:t xml:space="preserve">КТ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ІШЕННЯ</w:t>
      </w:r>
      <w:r/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листопада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2020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/>
    </w:p>
    <w:p>
      <w:pPr>
        <w:widowControl w:val="off"/>
        <w:rPr>
          <w:rFonts w:ascii="Times New Roman" w:hAnsi="Times New Roman" w:eastAsia="Lucida Sans Unicode"/>
          <w:b/>
          <w:color w:val="00000A"/>
          <w:lang w:val="uk-UA" w:bidi="hi-IN" w:eastAsia="hi-IN"/>
        </w:rPr>
      </w:pPr>
      <w:r>
        <w:rPr>
          <w:rFonts w:ascii="Times New Roman" w:hAnsi="Times New Roman" w:eastAsia="Lucida Sans Unicode"/>
          <w:b/>
          <w:color w:val="00000A"/>
          <w:lang w:val="uk-UA" w:bidi="hi-IN" w:eastAsia="hi-IN"/>
        </w:rPr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погодження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поховання</w:t>
      </w:r>
      <w:r/>
    </w:p>
    <w:p>
      <w:pPr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п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омерлих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безрідних</w:t>
      </w:r>
      <w:r>
        <w:rPr>
          <w:rFonts w:ascii="Times New Roman" w:hAnsi="Times New Roman" w:eastAsia="Times New Roman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та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невідомих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громадян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                                                                               на 2021-2023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  <w:lang w:val="ru-RU" w:eastAsia="ru-RU"/>
        </w:rPr>
        <w:t xml:space="preserve"> роки</w:t>
      </w:r>
      <w:r>
        <w:rPr>
          <w:rFonts w:ascii="Times New Roman" w:hAnsi="Times New Roman" w:eastAsia="Times New Roman"/>
          <w:color w:val="000000"/>
          <w:sz w:val="27"/>
          <w:szCs w:val="27"/>
          <w:lang w:eastAsia="ru-RU"/>
        </w:rPr>
        <w:t xml:space="preserve"> </w:t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поховання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  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померлих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безрідних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 та 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невідомих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громадян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 на 2021-2023 роки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керуючись ст.52 Закону України «Про місцеве самоврядування в Україні», виконавчий комітет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поховання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  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померлих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безрідних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 та 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невідомих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громадян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 на 2021-2023 роки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 (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додається</w:t>
      </w:r>
      <w:r>
        <w:rPr>
          <w:rFonts w:ascii="Times New Roman" w:hAnsi="Times New Roman" w:eastAsia="Times New Roman"/>
          <w:bCs/>
          <w:color w:val="000000"/>
          <w:sz w:val="27"/>
          <w:szCs w:val="27"/>
          <w:lang w:val="ru-RU" w:eastAsia="ru-RU"/>
        </w:rPr>
        <w:t xml:space="preserve">).</w:t>
      </w:r>
      <w:r/>
    </w:p>
    <w:p>
      <w:pPr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даної 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подати 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 міської ради.</w:t>
      </w:r>
      <w:r/>
    </w:p>
    <w:p>
      <w:pPr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покласти на Вишняк Т.С., заступника міського голови з питань діяльності виконавчого комітету Менської міської ради.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Г.А.Примаков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Додаток № 1 </w:t>
      </w:r>
      <w:r>
        <w:rPr>
          <w:color w:val="000000"/>
          <w:lang w:val="uk-UA" w:eastAsia="ru-RU"/>
        </w:rPr>
        <w:t xml:space="preserve">проєкту</w:t>
      </w:r>
      <w:r>
        <w:rPr>
          <w:color w:val="000000"/>
          <w:lang w:val="uk-UA" w:eastAsia="ru-RU"/>
        </w:rPr>
        <w:t xml:space="preserve"> рішення виконавчого комітету Менської міської ради  від .11.2020 р. «Про погодження </w:t>
      </w:r>
      <w:r>
        <w:rPr>
          <w:color w:val="000000"/>
          <w:lang w:val="uk-UA" w:eastAsia="ru-RU"/>
        </w:rPr>
        <w:t xml:space="preserve"> </w:t>
      </w:r>
      <w:r>
        <w:rPr>
          <w:lang w:val="uk-UA"/>
        </w:rPr>
        <w:t xml:space="preserve">Програми поховання померлих безрідних та невідомих громадян на 2021-2023 роки</w:t>
      </w:r>
      <w:r>
        <w:rPr>
          <w:lang w:val="uk-UA"/>
        </w:rPr>
        <w:t xml:space="preserve">»</w:t>
      </w:r>
      <w:r/>
    </w:p>
    <w:p>
      <w:pPr>
        <w:jc w:val="center"/>
        <w:tabs>
          <w:tab w:val="left" w:pos="-60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ПАСПОРТ</w:t>
      </w:r>
      <w:r/>
    </w:p>
    <w:p>
      <w:pPr>
        <w:jc w:val="center"/>
        <w:tabs>
          <w:tab w:val="left" w:pos="-60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Програми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поховання</w:t>
      </w: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 xml:space="preserve">померлих</w:t>
      </w:r>
      <w:r>
        <w:rPr>
          <w:b/>
          <w:lang w:val="ru-RU"/>
        </w:rPr>
        <w:t xml:space="preserve"> </w:t>
      </w:r>
      <w:r>
        <w:rPr>
          <w:b/>
          <w:bCs/>
          <w:lang w:val="ru-RU"/>
        </w:rPr>
        <w:t xml:space="preserve">безрідних</w:t>
      </w:r>
      <w:r>
        <w:rPr>
          <w:b/>
          <w:bCs/>
          <w:lang w:val="ru-RU"/>
        </w:rPr>
        <w:t xml:space="preserve"> та </w:t>
      </w:r>
      <w:r>
        <w:rPr>
          <w:b/>
          <w:bCs/>
          <w:lang w:val="ru-RU"/>
        </w:rPr>
        <w:t xml:space="preserve">невідомих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громадян</w:t>
      </w:r>
      <w:r>
        <w:rPr>
          <w:b/>
          <w:bCs/>
          <w:lang w:val="ru-RU"/>
        </w:rPr>
        <w:t xml:space="preserve"> </w:t>
      </w:r>
      <w:r/>
    </w:p>
    <w:p>
      <w:pPr>
        <w:jc w:val="center"/>
        <w:tabs>
          <w:tab w:val="left" w:pos="-60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  <w:t xml:space="preserve">на</w:t>
      </w:r>
      <w:r>
        <w:rPr>
          <w:b/>
          <w:bCs/>
        </w:rPr>
        <w:t xml:space="preserve"> 20</w:t>
      </w:r>
      <w:r>
        <w:rPr>
          <w:b/>
          <w:bCs/>
          <w:lang w:val="uk-UA"/>
        </w:rPr>
        <w:t xml:space="preserve">21</w:t>
      </w:r>
      <w:r>
        <w:rPr>
          <w:b/>
          <w:bCs/>
        </w:rPr>
        <w:t xml:space="preserve">-202</w:t>
      </w:r>
      <w:r>
        <w:rPr>
          <w:b/>
          <w:bCs/>
          <w:lang w:val="uk-UA"/>
        </w:rPr>
        <w:t xml:space="preserve">3</w:t>
      </w:r>
      <w:r>
        <w:rPr>
          <w:b/>
          <w:bCs/>
        </w:rPr>
        <w:t xml:space="preserve"> </w:t>
      </w:r>
      <w:r>
        <w:rPr>
          <w:b/>
          <w:bCs/>
        </w:rPr>
        <w:t xml:space="preserve">роки</w:t>
      </w:r>
      <w:r/>
    </w:p>
    <w:p>
      <w:pPr>
        <w:jc w:val="center"/>
        <w:tabs>
          <w:tab w:val="left" w:pos="-60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  <w:r/>
    </w:p>
    <w:tbl>
      <w:tblPr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4680"/>
      </w:tblGrid>
      <w:tr>
        <w:trPr>
          <w:trHeight w:val="3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vAlign w:val="center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40" w:type="dxa"/>
            <w:vAlign w:val="center"/>
            <w:textDirection w:val="lrTb"/>
            <w:noWrap w:val="false"/>
          </w:tcPr>
          <w:p>
            <w:r>
              <w:t xml:space="preserve">Ініціатор</w:t>
            </w:r>
            <w:r>
              <w:t xml:space="preserve"> </w:t>
            </w:r>
            <w:r>
              <w:t xml:space="preserve">розроблення</w:t>
            </w:r>
            <w:r>
              <w:t xml:space="preserve"> </w:t>
            </w:r>
            <w:r>
              <w:t xml:space="preserve">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0" w:type="dxa"/>
            <w:vAlign w:val="center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5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vAlign w:val="center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40" w:type="dxa"/>
            <w:vAlign w:val="center"/>
            <w:textDirection w:val="lrTb"/>
            <w:noWrap w:val="false"/>
          </w:tcPr>
          <w:p>
            <w:r>
              <w:t xml:space="preserve">Розробник</w:t>
            </w:r>
            <w:r>
              <w:t xml:space="preserve"> </w:t>
            </w:r>
            <w:r>
              <w:t xml:space="preserve">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0" w:type="dxa"/>
            <w:vAlign w:val="center"/>
            <w:textDirection w:val="lrTb"/>
            <w:noWrap w:val="false"/>
          </w:tcPr>
          <w:p>
            <w:r>
              <w:rPr>
                <w:lang w:val="uk-UA"/>
              </w:rPr>
              <w:t xml:space="preserve">Менська</w:t>
            </w:r>
            <w:r>
              <w:t xml:space="preserve"> </w:t>
            </w:r>
            <w:r>
              <w:t xml:space="preserve">міська</w:t>
            </w:r>
            <w:r>
              <w:t xml:space="preserve"> </w:t>
            </w:r>
            <w:r>
              <w:t xml:space="preserve">рада</w:t>
            </w:r>
            <w:r/>
          </w:p>
        </w:tc>
      </w:tr>
      <w:tr>
        <w:trPr>
          <w:trHeight w:val="82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vAlign w:val="center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40" w:type="dxa"/>
            <w:vAlign w:val="center"/>
            <w:textDirection w:val="lrTb"/>
            <w:noWrap w:val="false"/>
          </w:tcPr>
          <w:p>
            <w:r>
              <w:t xml:space="preserve">Відповідальний</w:t>
            </w:r>
            <w:r>
              <w:t xml:space="preserve"> </w:t>
            </w:r>
            <w:r>
              <w:t xml:space="preserve">виконавець</w:t>
            </w:r>
            <w:r>
              <w:t xml:space="preserve"> </w:t>
            </w:r>
            <w:r>
              <w:t xml:space="preserve">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0" w:type="dxa"/>
            <w:vAlign w:val="center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uk-UA"/>
              </w:rPr>
              <w:t xml:space="preserve">Менська</w:t>
            </w:r>
            <w:r>
              <w:t xml:space="preserve"> </w:t>
            </w:r>
            <w:r>
              <w:t xml:space="preserve">міська</w:t>
            </w:r>
            <w:r>
              <w:t xml:space="preserve"> </w:t>
            </w:r>
            <w:r>
              <w:t xml:space="preserve">рада</w:t>
            </w:r>
            <w:r/>
          </w:p>
        </w:tc>
      </w:tr>
      <w:tr>
        <w:trPr>
          <w:trHeight w:val="6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vAlign w:val="center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40" w:type="dxa"/>
            <w:vAlign w:val="center"/>
            <w:textDirection w:val="lrTb"/>
            <w:noWrap w:val="false"/>
          </w:tcPr>
          <w:p>
            <w:r>
              <w:t xml:space="preserve">Учасники</w:t>
            </w:r>
            <w:r>
              <w:t xml:space="preserve"> </w:t>
            </w:r>
            <w:r>
              <w:t xml:space="preserve">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0" w:type="dxa"/>
            <w:vAlign w:val="center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uk-UA"/>
              </w:rPr>
              <w:t xml:space="preserve">Менська</w:t>
            </w:r>
            <w:r>
              <w:t xml:space="preserve"> </w:t>
            </w:r>
            <w:r>
              <w:t xml:space="preserve">міська</w:t>
            </w:r>
            <w:r>
              <w:t xml:space="preserve"> </w:t>
            </w:r>
            <w:r>
              <w:t xml:space="preserve">рада</w:t>
            </w:r>
            <w:r/>
          </w:p>
        </w:tc>
      </w:tr>
      <w:tr>
        <w:trPr>
          <w:trHeight w:val="29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vAlign w:val="center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40" w:type="dxa"/>
            <w:vAlign w:val="center"/>
            <w:textDirection w:val="lrTb"/>
            <w:noWrap w:val="false"/>
          </w:tcPr>
          <w:p>
            <w:r>
              <w:t xml:space="preserve">Терміни</w:t>
            </w:r>
            <w:r>
              <w:t xml:space="preserve"> </w:t>
            </w:r>
            <w:r>
              <w:t xml:space="preserve">реалізації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0" w:type="dxa"/>
            <w:vAlign w:val="center"/>
            <w:textDirection w:val="lrTb"/>
            <w:noWrap w:val="false"/>
          </w:tcPr>
          <w:p>
            <w:r>
              <w:t xml:space="preserve">20</w:t>
            </w:r>
            <w:r>
              <w:rPr>
                <w:lang w:val="uk-UA"/>
              </w:rPr>
              <w:t xml:space="preserve">21</w:t>
            </w:r>
            <w:r>
              <w:t xml:space="preserve">-202</w:t>
            </w:r>
            <w:r>
              <w:rPr>
                <w:lang w:val="uk-UA"/>
              </w:rPr>
              <w:t xml:space="preserve">3</w:t>
            </w:r>
            <w:r>
              <w:t xml:space="preserve"> </w:t>
            </w:r>
            <w:r>
              <w:t xml:space="preserve">роки</w:t>
            </w:r>
            <w:r/>
          </w:p>
        </w:tc>
      </w:tr>
      <w:tr>
        <w:trPr>
          <w:cantSplit/>
          <w:trHeight w:val="5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vAlign w:val="center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40" w:type="dxa"/>
            <w:vAlign w:val="center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Перелі</w:t>
            </w:r>
            <w:r>
              <w:rPr>
                <w:lang w:val="ru-RU"/>
              </w:rPr>
              <w:t xml:space="preserve">к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бюджетів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які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беруть</w:t>
            </w:r>
            <w:r>
              <w:rPr>
                <w:lang w:val="ru-RU"/>
              </w:rPr>
              <w:t xml:space="preserve"> участь у </w:t>
            </w:r>
            <w:r>
              <w:rPr>
                <w:lang w:val="ru-RU"/>
              </w:rPr>
              <w:t xml:space="preserve">виконанні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0" w:type="dxa"/>
            <w:vAlign w:val="center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Бюджет Менської міської ОТГ</w:t>
            </w:r>
            <w:r/>
          </w:p>
        </w:tc>
      </w:tr>
      <w:tr>
        <w:trPr>
          <w:cantSplit/>
          <w:trHeight w:val="82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vAlign w:val="center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40" w:type="dxa"/>
            <w:vAlign w:val="center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Загальний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обсяг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фінансових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ресурсів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необхідних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реалізації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Програми</w:t>
            </w:r>
            <w:r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 xml:space="preserve">2021-2023</w:t>
            </w:r>
            <w:r>
              <w:rPr>
                <w:lang w:val="ru-RU"/>
              </w:rPr>
              <w:t xml:space="preserve"> роки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0" w:type="dxa"/>
            <w:vAlign w:val="center"/>
            <w:textDirection w:val="lrTb"/>
            <w:noWrap w:val="false"/>
          </w:tcPr>
          <w:p>
            <w:r>
              <w:t xml:space="preserve">15</w:t>
            </w:r>
            <w:r>
              <w:t xml:space="preserve">0 </w:t>
            </w:r>
            <w:r>
              <w:t xml:space="preserve">тис</w:t>
            </w:r>
            <w:r>
              <w:t xml:space="preserve">.</w:t>
            </w:r>
            <w:r>
              <w:t xml:space="preserve"> </w:t>
            </w:r>
            <w:r>
              <w:t xml:space="preserve">грн</w:t>
            </w:r>
            <w:r>
              <w:t xml:space="preserve">.</w:t>
            </w:r>
            <w:r/>
          </w:p>
        </w:tc>
      </w:tr>
      <w:tr>
        <w:trPr>
          <w:trHeight w:val="3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vAlign w:val="center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40" w:type="dxa"/>
            <w:vAlign w:val="center"/>
            <w:textDirection w:val="lrTb"/>
            <w:noWrap w:val="false"/>
          </w:tcPr>
          <w:p>
            <w:r>
              <w:t xml:space="preserve">Мета</w:t>
            </w:r>
            <w:r>
              <w:t xml:space="preserve"> </w:t>
            </w:r>
            <w:r>
              <w:t xml:space="preserve">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0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Організація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поховання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одиноких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громадян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осіб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певного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місця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проживання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осіб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від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поховання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яких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відмовилися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рідні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знайдених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невпізнаних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трупів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території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Менської міської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об’єднаної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територіальної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громади</w:t>
            </w:r>
            <w:r>
              <w:rPr>
                <w:color w:val="000000"/>
              </w:rPr>
              <w:t xml:space="preserve">.</w:t>
            </w:r>
            <w:r/>
          </w:p>
        </w:tc>
      </w:tr>
      <w:tr>
        <w:trPr>
          <w:trHeight w:val="3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vAlign w:val="center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40" w:type="dxa"/>
            <w:vAlign w:val="center"/>
            <w:textDirection w:val="lrTb"/>
            <w:noWrap w:val="false"/>
          </w:tcPr>
          <w:p>
            <w:r>
              <w:t xml:space="preserve">Очікуваний</w:t>
            </w:r>
            <w:r>
              <w:t xml:space="preserve"> </w:t>
            </w:r>
            <w:r>
              <w:t xml:space="preserve">результат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0" w:type="dxa"/>
            <w:vAlign w:val="center"/>
            <w:textDirection w:val="lrTb"/>
            <w:noWrap w:val="false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Належне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ставлення</w:t>
            </w:r>
            <w:r>
              <w:rPr>
                <w:color w:val="000000"/>
                <w:lang w:val="ru-RU"/>
              </w:rPr>
              <w:t xml:space="preserve"> до </w:t>
            </w:r>
            <w:r>
              <w:rPr>
                <w:color w:val="000000"/>
                <w:lang w:val="ru-RU"/>
              </w:rPr>
              <w:t xml:space="preserve">тіла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померлого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громадянина</w:t>
            </w:r>
            <w:r/>
          </w:p>
        </w:tc>
      </w:tr>
    </w:tbl>
    <w:p>
      <w:pPr>
        <w:pStyle w:val="413"/>
        <w:jc w:val="center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center"/>
        <w:spacing w:lineRule="auto" w:line="276" w:after="200"/>
        <w:rPr>
          <w:rFonts w:ascii="Times New Roman" w:hAnsi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76" w:after="200"/>
        <w:rPr>
          <w:rFonts w:ascii="Times New Roman" w:hAnsi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76" w:after="200"/>
        <w:rPr>
          <w:rFonts w:ascii="Times New Roman" w:hAnsi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76" w:after="200"/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ПРОГРАМА</w:t>
      </w:r>
      <w:r/>
    </w:p>
    <w:p>
      <w:pPr>
        <w:jc w:val="center"/>
        <w:spacing w:lineRule="auto" w:line="276" w:after="12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похованн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я невідомих та безрідних на 2021-2023 роки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визначає порядок використання кошті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в, виділених з бюджету Менської міської ОТГ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на поховання померлих одиноких громадян, осіб без певного місця проживання, громадян, від поховання яких відмовилися рідні, знайдених невпізнаних трупі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 відповідно до Закону України «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 поховання та похоронну справу»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709"/>
        <w:jc w:val="both"/>
        <w:spacing w:lineRule="auto" w:line="276" w:after="120" w:before="12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1.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Характеристика програми та мета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Назва програми: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Програма похованн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я невідомих та безрідних на 2021-2023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рік.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Підстава для розроблення: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Закон України «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 поховання та похоронну справу»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Держа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вні санітарні правила та норми «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Гігієнічні вимоги щодо облаштування і утримання кладов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ищ в населених пунктах України»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ДСанПІН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2.2.2.028-99.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Розробник: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 Менська міська рада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Мета програми: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поховання померлих одиноких громадян, осіб без певного місця проживання, громадян, від поховання яких відмовилися рідні, знайдених невпізнаних трупів.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Загальний обсяг фінансування: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000 грн., на одн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особу  з бюджету Менської міської ОТГ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Очікувані результати виконання: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гарантування належного поховання померлих одиноких громадян, осіб без певного місця проживання, громадян, від поховання яких відмовилися рідні, знайдених невпізнаних трупів, достойне ставлення до тіла померлого, запобігання випадкам не поховання померлих.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Контроль за виконанням: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Контроль за виконанням Програми здійснює головний розпорядник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бюджетних коштів – Менська міська рада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709"/>
        <w:jc w:val="both"/>
        <w:spacing w:lineRule="auto" w:line="276" w:after="200" w:before="12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2. Склад проблеми та обґрунтування необхідності її</w:t>
      </w:r>
      <w:r/>
    </w:p>
    <w:p>
      <w:pPr>
        <w:ind w:firstLine="709"/>
        <w:jc w:val="both"/>
        <w:spacing w:lineRule="auto" w:line="276" w:after="12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розв’язання програмним методом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овідно до ст.16 Закону України «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 поховання та похоронну справу»,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поховання померлих одиноких громадян, осіб без певного місця проживання, громадян, від поховання яких відмовилися рідні, знайдених невпізнаних трупів здійснюється за рахунок коштів відповідних місцевих бюджетів.</w:t>
      </w:r>
      <w:r/>
    </w:p>
    <w:p>
      <w:pPr>
        <w:jc w:val="both"/>
        <w:spacing w:lineRule="auto" w:line="276" w:after="12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3. Обґрунтування шляхів і засобів розв'язання проблеми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Поховання померлих одиноких громадян, осіб без певного місця проживання, громадян, від поховання яких відмовилися рідні, знайдених невпізнаних трупів потребує виділення коштів на цю мету із місцевого бюджету.</w:t>
      </w:r>
      <w:r/>
    </w:p>
    <w:p>
      <w:pPr>
        <w:jc w:val="both"/>
        <w:spacing w:lineRule="auto" w:line="276" w:after="120" w:before="12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4. Строки та етапи виконання програми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Реалізація 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рограми планується до кінця 2021-2023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року. </w:t>
      </w:r>
      <w:r/>
    </w:p>
    <w:p>
      <w:pPr>
        <w:jc w:val="both"/>
        <w:spacing w:lineRule="auto" w:line="276" w:after="120" w:before="12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5. Перелік заходів програми</w:t>
      </w:r>
      <w:r/>
    </w:p>
    <w:tbl>
      <w:tblPr>
        <w:tblW w:w="9640" w:type="dxa"/>
        <w:tblInd w:w="98" w:type="dxa"/>
        <w:tblLook w:val="0000" w:firstRow="0" w:lastRow="0" w:firstColumn="0" w:lastColumn="0" w:noHBand="0" w:noVBand="0"/>
      </w:tblPr>
      <w:tblGrid>
        <w:gridCol w:w="820"/>
        <w:gridCol w:w="6560"/>
        <w:gridCol w:w="2260"/>
      </w:tblGrid>
      <w:tr>
        <w:trPr>
          <w:trHeight w:val="207"/>
        </w:trPr>
        <w:tc>
          <w:tcPr>
            <w:gridSpan w:val="3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40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 w:eastAsia="ru-RU"/>
              </w:rPr>
              <w:t xml:space="preserve">5.1. Поховання невідомих, безрідних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Найменування об’єктів та робіт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Вартість, грн.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0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Заходи щодо поховання невідомих, безрідних (згідно з Законом України 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«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Пр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о 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поховання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 та 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похоронну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 справу»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0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20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0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Усього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: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0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 w:eastAsia="ru-RU"/>
              </w:rPr>
              <w:t xml:space="preserve"> 000 грн. на одну особу.</w:t>
            </w:r>
            <w:r/>
          </w:p>
        </w:tc>
      </w:tr>
    </w:tbl>
    <w:p>
      <w:pPr>
        <w:ind w:left="2126" w:firstLine="709"/>
        <w:jc w:val="both"/>
        <w:spacing w:lineRule="auto" w:line="276" w:after="120" w:before="12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6. Ресурсне забезпечення програми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Фінансове забезпечення Програми здійснюється за рахунок коштів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виділених із бюджету Менської міської ОТГ в сумі  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000 грн. на одну особу.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Головний розпорядник коштів –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Менська міська рада.</w:t>
      </w:r>
      <w:r/>
    </w:p>
    <w:p>
      <w:pPr>
        <w:ind w:firstLine="709"/>
        <w:jc w:val="both"/>
        <w:spacing w:lineRule="auto" w:line="276" w:after="120" w:before="12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7. Очікувані результати виконання програми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гарантування належного поховання померлих одиноких громадян, осіб без певного місця проживання, громадян, від поховання яких відмовилися рідні, знайдених невпізнаних трупів; 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достойне ставлення до тіла померлого;</w:t>
      </w:r>
      <w:r/>
    </w:p>
    <w:p>
      <w:pPr>
        <w:ind w:firstLine="708"/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запобігання випадкам не поховання померлих.</w:t>
      </w:r>
      <w:r/>
    </w:p>
    <w:p>
      <w:pPr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spacing w:lineRule="auto" w:line="276" w:after="20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80"/>
    <w:link w:val="3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80"/>
    <w:link w:val="37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80"/>
    <w:link w:val="37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80"/>
    <w:link w:val="37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80"/>
    <w:link w:val="37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80"/>
    <w:link w:val="37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80"/>
    <w:link w:val="3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80"/>
    <w:link w:val="37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80"/>
    <w:link w:val="37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80"/>
    <w:link w:val="394"/>
    <w:uiPriority w:val="10"/>
    <w:rPr>
      <w:sz w:val="48"/>
      <w:szCs w:val="48"/>
    </w:rPr>
  </w:style>
  <w:style w:type="character" w:styleId="35">
    <w:name w:val="Subtitle Char"/>
    <w:basedOn w:val="380"/>
    <w:link w:val="396"/>
    <w:uiPriority w:val="11"/>
    <w:rPr>
      <w:sz w:val="24"/>
      <w:szCs w:val="24"/>
    </w:rPr>
  </w:style>
  <w:style w:type="character" w:styleId="37">
    <w:name w:val="Quote Char"/>
    <w:link w:val="402"/>
    <w:uiPriority w:val="29"/>
    <w:rPr>
      <w:i/>
    </w:rPr>
  </w:style>
  <w:style w:type="character" w:styleId="39">
    <w:name w:val="Intense Quote Char"/>
    <w:link w:val="404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0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0"/>
    <w:link w:val="42"/>
    <w:uiPriority w:val="99"/>
  </w:style>
  <w:style w:type="table" w:styleId="45">
    <w:name w:val="Table Grid Light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0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370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371">
    <w:name w:val="Heading 1"/>
    <w:basedOn w:val="370"/>
    <w:next w:val="370"/>
    <w:link w:val="385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372">
    <w:name w:val="Heading 2"/>
    <w:basedOn w:val="370"/>
    <w:next w:val="370"/>
    <w:link w:val="386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373">
    <w:name w:val="Heading 3"/>
    <w:basedOn w:val="370"/>
    <w:next w:val="370"/>
    <w:link w:val="387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374">
    <w:name w:val="Heading 4"/>
    <w:basedOn w:val="370"/>
    <w:next w:val="370"/>
    <w:link w:val="388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375">
    <w:name w:val="Heading 5"/>
    <w:basedOn w:val="370"/>
    <w:next w:val="370"/>
    <w:link w:val="389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376">
    <w:name w:val="Heading 6"/>
    <w:basedOn w:val="370"/>
    <w:next w:val="370"/>
    <w:link w:val="390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377">
    <w:name w:val="Heading 7"/>
    <w:basedOn w:val="370"/>
    <w:next w:val="370"/>
    <w:link w:val="391"/>
    <w:qFormat/>
    <w:uiPriority w:val="9"/>
    <w:semiHidden/>
    <w:unhideWhenUsed/>
    <w:pPr>
      <w:spacing w:after="60" w:before="240"/>
      <w:outlineLvl w:val="6"/>
    </w:pPr>
  </w:style>
  <w:style w:type="paragraph" w:styleId="378">
    <w:name w:val="Heading 8"/>
    <w:basedOn w:val="370"/>
    <w:next w:val="370"/>
    <w:link w:val="392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379">
    <w:name w:val="Heading 9"/>
    <w:basedOn w:val="370"/>
    <w:next w:val="370"/>
    <w:link w:val="393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380" w:default="1">
    <w:name w:val="Default Paragraph Font"/>
    <w:uiPriority w:val="1"/>
    <w:semiHidden/>
    <w:unhideWhenUsed/>
  </w:style>
  <w:style w:type="table" w:styleId="3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2" w:default="1">
    <w:name w:val="No List"/>
    <w:uiPriority w:val="99"/>
    <w:semiHidden/>
    <w:unhideWhenUsed/>
  </w:style>
  <w:style w:type="paragraph" w:styleId="383">
    <w:name w:val="Balloon Text"/>
    <w:basedOn w:val="370"/>
    <w:link w:val="384"/>
    <w:uiPriority w:val="99"/>
    <w:semiHidden/>
    <w:unhideWhenUsed/>
    <w:rPr>
      <w:rFonts w:ascii="Tahoma" w:hAnsi="Tahoma" w:cs="Tahoma"/>
      <w:sz w:val="16"/>
      <w:szCs w:val="16"/>
    </w:rPr>
  </w:style>
  <w:style w:type="character" w:styleId="384" w:customStyle="1">
    <w:name w:val="Текст выноски Знак"/>
    <w:basedOn w:val="380"/>
    <w:link w:val="383"/>
    <w:uiPriority w:val="99"/>
    <w:semiHidden/>
    <w:rPr>
      <w:rFonts w:ascii="Tahoma" w:hAnsi="Tahoma" w:cs="Tahoma"/>
      <w:sz w:val="16"/>
      <w:szCs w:val="16"/>
    </w:rPr>
  </w:style>
  <w:style w:type="character" w:styleId="385" w:customStyle="1">
    <w:name w:val="Заголовок 1 Знак"/>
    <w:basedOn w:val="380"/>
    <w:link w:val="371"/>
    <w:uiPriority w:val="9"/>
    <w:rPr>
      <w:rFonts w:ascii="Cambria" w:hAnsi="Cambria" w:eastAsia="Cambria"/>
      <w:b/>
      <w:bCs/>
      <w:sz w:val="32"/>
      <w:szCs w:val="32"/>
    </w:rPr>
  </w:style>
  <w:style w:type="character" w:styleId="386" w:customStyle="1">
    <w:name w:val="Заголовок 2 Знак"/>
    <w:basedOn w:val="380"/>
    <w:link w:val="372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387" w:customStyle="1">
    <w:name w:val="Заголовок 3 Знак"/>
    <w:basedOn w:val="380"/>
    <w:link w:val="373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388" w:customStyle="1">
    <w:name w:val="Заголовок 4 Знак"/>
    <w:basedOn w:val="380"/>
    <w:link w:val="374"/>
    <w:uiPriority w:val="9"/>
    <w:rPr>
      <w:b/>
      <w:bCs/>
      <w:sz w:val="28"/>
      <w:szCs w:val="28"/>
    </w:rPr>
  </w:style>
  <w:style w:type="character" w:styleId="389" w:customStyle="1">
    <w:name w:val="Заголовок 5 Знак"/>
    <w:basedOn w:val="380"/>
    <w:link w:val="375"/>
    <w:uiPriority w:val="9"/>
    <w:semiHidden/>
    <w:rPr>
      <w:b/>
      <w:bCs/>
      <w:i/>
      <w:iCs/>
      <w:sz w:val="26"/>
      <w:szCs w:val="26"/>
    </w:rPr>
  </w:style>
  <w:style w:type="character" w:styleId="390" w:customStyle="1">
    <w:name w:val="Заголовок 6 Знак"/>
    <w:basedOn w:val="380"/>
    <w:link w:val="376"/>
    <w:uiPriority w:val="9"/>
    <w:semiHidden/>
    <w:rPr>
      <w:b/>
      <w:bCs/>
    </w:rPr>
  </w:style>
  <w:style w:type="character" w:styleId="391" w:customStyle="1">
    <w:name w:val="Заголовок 7 Знак"/>
    <w:basedOn w:val="380"/>
    <w:link w:val="377"/>
    <w:uiPriority w:val="9"/>
    <w:semiHidden/>
    <w:rPr>
      <w:sz w:val="24"/>
      <w:szCs w:val="24"/>
    </w:rPr>
  </w:style>
  <w:style w:type="character" w:styleId="392" w:customStyle="1">
    <w:name w:val="Заголовок 8 Знак"/>
    <w:basedOn w:val="380"/>
    <w:link w:val="378"/>
    <w:uiPriority w:val="9"/>
    <w:semiHidden/>
    <w:rPr>
      <w:i/>
      <w:iCs/>
      <w:sz w:val="24"/>
      <w:szCs w:val="24"/>
    </w:rPr>
  </w:style>
  <w:style w:type="character" w:styleId="393" w:customStyle="1">
    <w:name w:val="Заголовок 9 Знак"/>
    <w:basedOn w:val="380"/>
    <w:link w:val="379"/>
    <w:uiPriority w:val="9"/>
    <w:semiHidden/>
    <w:rPr>
      <w:rFonts w:ascii="Cambria" w:hAnsi="Cambria" w:eastAsia="Cambria"/>
    </w:rPr>
  </w:style>
  <w:style w:type="paragraph" w:styleId="394">
    <w:name w:val="Title"/>
    <w:basedOn w:val="370"/>
    <w:next w:val="370"/>
    <w:link w:val="395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395" w:customStyle="1">
    <w:name w:val="Название Знак"/>
    <w:basedOn w:val="380"/>
    <w:link w:val="394"/>
    <w:uiPriority w:val="10"/>
    <w:rPr>
      <w:rFonts w:ascii="Cambria" w:hAnsi="Cambria" w:eastAsia="Cambria"/>
      <w:b/>
      <w:bCs/>
      <w:sz w:val="32"/>
      <w:szCs w:val="32"/>
    </w:rPr>
  </w:style>
  <w:style w:type="paragraph" w:styleId="396">
    <w:name w:val="Subtitle"/>
    <w:basedOn w:val="370"/>
    <w:next w:val="370"/>
    <w:link w:val="397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397" w:customStyle="1">
    <w:name w:val="Подзаголовок Знак"/>
    <w:basedOn w:val="380"/>
    <w:link w:val="396"/>
    <w:uiPriority w:val="11"/>
    <w:rPr>
      <w:rFonts w:ascii="Cambria" w:hAnsi="Cambria" w:eastAsia="Cambria"/>
      <w:sz w:val="24"/>
      <w:szCs w:val="24"/>
    </w:rPr>
  </w:style>
  <w:style w:type="character" w:styleId="398">
    <w:name w:val="Strong"/>
    <w:basedOn w:val="380"/>
    <w:qFormat/>
    <w:uiPriority w:val="22"/>
    <w:rPr>
      <w:b/>
      <w:bCs/>
    </w:rPr>
  </w:style>
  <w:style w:type="character" w:styleId="399">
    <w:name w:val="Emphasis"/>
    <w:basedOn w:val="380"/>
    <w:qFormat/>
    <w:uiPriority w:val="20"/>
    <w:rPr>
      <w:rFonts w:ascii="Calibri" w:hAnsi="Calibri"/>
      <w:b/>
      <w:i/>
      <w:iCs/>
    </w:rPr>
  </w:style>
  <w:style w:type="paragraph" w:styleId="400">
    <w:name w:val="No Spacing"/>
    <w:basedOn w:val="370"/>
    <w:qFormat/>
    <w:uiPriority w:val="1"/>
    <w:rPr>
      <w:szCs w:val="32"/>
    </w:rPr>
  </w:style>
  <w:style w:type="paragraph" w:styleId="401">
    <w:name w:val="List Paragraph"/>
    <w:basedOn w:val="370"/>
    <w:qFormat/>
    <w:uiPriority w:val="34"/>
    <w:pPr>
      <w:contextualSpacing w:val="true"/>
      <w:ind w:left="720"/>
    </w:pPr>
  </w:style>
  <w:style w:type="paragraph" w:styleId="402">
    <w:name w:val="Quote"/>
    <w:basedOn w:val="370"/>
    <w:next w:val="370"/>
    <w:link w:val="403"/>
    <w:qFormat/>
    <w:uiPriority w:val="29"/>
    <w:rPr>
      <w:i/>
    </w:rPr>
  </w:style>
  <w:style w:type="character" w:styleId="403" w:customStyle="1">
    <w:name w:val="Цитата 2 Знак"/>
    <w:basedOn w:val="380"/>
    <w:link w:val="402"/>
    <w:uiPriority w:val="29"/>
    <w:rPr>
      <w:i/>
      <w:sz w:val="24"/>
      <w:szCs w:val="24"/>
    </w:rPr>
  </w:style>
  <w:style w:type="paragraph" w:styleId="404">
    <w:name w:val="Intense Quote"/>
    <w:basedOn w:val="370"/>
    <w:next w:val="370"/>
    <w:link w:val="405"/>
    <w:qFormat/>
    <w:uiPriority w:val="30"/>
    <w:rPr>
      <w:b/>
      <w:i/>
      <w:szCs w:val="22"/>
    </w:rPr>
    <w:pPr>
      <w:ind w:left="720" w:right="720"/>
    </w:pPr>
  </w:style>
  <w:style w:type="character" w:styleId="405" w:customStyle="1">
    <w:name w:val="Выделенная цитата Знак"/>
    <w:basedOn w:val="380"/>
    <w:link w:val="404"/>
    <w:uiPriority w:val="30"/>
    <w:rPr>
      <w:b/>
      <w:i/>
      <w:sz w:val="24"/>
    </w:rPr>
  </w:style>
  <w:style w:type="character" w:styleId="406">
    <w:name w:val="Subtle Emphasis"/>
    <w:qFormat/>
    <w:uiPriority w:val="19"/>
    <w:rPr>
      <w:i/>
      <w:color w:val="5A5A5A" w:themeColor="text1" w:themeTint="A5"/>
    </w:rPr>
  </w:style>
  <w:style w:type="character" w:styleId="407">
    <w:name w:val="Intense Emphasis"/>
    <w:basedOn w:val="380"/>
    <w:qFormat/>
    <w:uiPriority w:val="21"/>
    <w:rPr>
      <w:b/>
      <w:i/>
      <w:sz w:val="24"/>
      <w:szCs w:val="24"/>
      <w:u w:val="single"/>
    </w:rPr>
  </w:style>
  <w:style w:type="character" w:styleId="408">
    <w:name w:val="Subtle Reference"/>
    <w:basedOn w:val="380"/>
    <w:qFormat/>
    <w:uiPriority w:val="31"/>
    <w:rPr>
      <w:sz w:val="24"/>
      <w:szCs w:val="24"/>
      <w:u w:val="single"/>
    </w:rPr>
  </w:style>
  <w:style w:type="character" w:styleId="409">
    <w:name w:val="Intense Reference"/>
    <w:basedOn w:val="380"/>
    <w:qFormat/>
    <w:uiPriority w:val="32"/>
    <w:rPr>
      <w:b/>
      <w:sz w:val="24"/>
      <w:u w:val="single"/>
    </w:rPr>
  </w:style>
  <w:style w:type="character" w:styleId="410">
    <w:name w:val="Book Title"/>
    <w:basedOn w:val="380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411">
    <w:name w:val="TOC Heading"/>
    <w:basedOn w:val="371"/>
    <w:next w:val="370"/>
    <w:qFormat/>
    <w:uiPriority w:val="39"/>
    <w:semiHidden/>
    <w:unhideWhenUsed/>
    <w:pPr>
      <w:outlineLvl w:val="9"/>
    </w:pPr>
  </w:style>
  <w:style w:type="table" w:styleId="412">
    <w:name w:val="Table Grid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13">
    <w:name w:val="Body Text"/>
    <w:basedOn w:val="370"/>
    <w:link w:val="414"/>
    <w:rPr>
      <w:rFonts w:ascii="Times New Roman" w:hAnsi="Times New Roman" w:eastAsia="Times New Roman"/>
      <w:sz w:val="20"/>
      <w:szCs w:val="20"/>
      <w:lang w:val="uk-UA" w:bidi="ar-SA" w:eastAsia="ru-RU"/>
    </w:rPr>
    <w:pPr>
      <w:spacing w:after="120"/>
    </w:pPr>
  </w:style>
  <w:style w:type="character" w:styleId="414" w:customStyle="1">
    <w:name w:val="Основной текст Знак"/>
    <w:basedOn w:val="380"/>
    <w:link w:val="413"/>
    <w:rPr>
      <w:rFonts w:ascii="Times New Roman" w:hAnsi="Times New Roman" w:eastAsia="Times New Roman"/>
      <w:sz w:val="20"/>
      <w:szCs w:val="20"/>
      <w:lang w:val="uk-UA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Бернадська Тетяна Анатоліївна</cp:lastModifiedBy>
  <cp:revision>12</cp:revision>
  <dcterms:created xsi:type="dcterms:W3CDTF">2018-11-12T13:23:00Z</dcterms:created>
  <dcterms:modified xsi:type="dcterms:W3CDTF">2020-11-23T14:03:41Z</dcterms:modified>
</cp:coreProperties>
</file>