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1815" cy="755015"/>
                <wp:effectExtent l="0" t="0" r="635" b="698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5181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4pt;height:59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 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листопада 2020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№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ar-S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ar-SA"/>
        </w:rPr>
        <w:tab/>
      </w:r>
      <w:r/>
    </w:p>
    <w:p>
      <w:pPr>
        <w:ind w:right="4923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ar-SA"/>
        </w:rPr>
      </w:r>
      <w:r/>
    </w:p>
    <w:p>
      <w:pPr>
        <w:ind w:right="4923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погодження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П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рограми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ar-SA"/>
        </w:rPr>
        <w:t xml:space="preserve">“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Міський автобус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ar-SA"/>
        </w:rPr>
        <w:t xml:space="preserve">”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перевезення пасажирів по м. Мена на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2021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р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ік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та Порядку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відшкодування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різниці між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тариф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м на послуги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з перевезення пасажирів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та вартістю квитка</w:t>
      </w:r>
      <w:r/>
    </w:p>
    <w:p>
      <w:pPr>
        <w:ind w:right="4923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 метою забезпечення перевезення пасажирів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м. Мена, керуючись ст.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52 Закону України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“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”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виконавчий комітет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И Р І Ш 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Погодити проект </w:t>
      </w:r>
      <w:bookmarkStart w:id="0" w:name="_Hlk532391696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П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рограм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“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Міський автобус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”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перевезення пасажирів по м.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Мена 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2021 рік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згідно додатку № 1 до даного рішення (додається).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Погодити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проект </w:t>
      </w:r>
      <w:bookmarkStart w:id="1" w:name="_Hlk532391751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Порядку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відшкодування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різниці між тарифом на послуги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 перевезення пасажирів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та вартістю квитка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2021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ік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згідно додатку №2 (додається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3.Подати на сесію Менської міської ради П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рограм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“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Міський автобус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”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перевезення пасажирів по м. Мена 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2021 рік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Порядок відшкодування різниці між тарифом на послуги з перевезення пасажирів та вартістю квитка 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2021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ік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для розгляду та затвердження  в установленому порядку.</w:t>
      </w:r>
      <w:r/>
    </w:p>
    <w:p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Контроль за виконанням рішення покласти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заступник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ів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міського голови з питань діяльності виконкому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/>
    </w:p>
    <w:p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</w:r>
      <w:r/>
    </w:p>
    <w:p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Г.А. Примаков</w:t>
      </w:r>
      <w:r/>
    </w:p>
    <w:p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br w:type="page"/>
      </w:r>
      <w:r/>
    </w:p>
    <w:p>
      <w:pPr>
        <w:ind w:firstLine="5245"/>
        <w:spacing w:lineRule="auto" w:line="240" w:after="0"/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</w:pP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Додаток 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№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1</w:t>
      </w:r>
      <w:r/>
    </w:p>
    <w:p>
      <w:pPr>
        <w:ind w:left="5245"/>
        <w:spacing w:lineRule="auto" w:line="240" w:after="0"/>
        <w:rPr>
          <w:rFonts w:ascii="Times New Roman" w:hAnsi="Times New Roman" w:cs="Times New Roman" w:eastAsia="TimesNewRomanPSMT"/>
          <w:bCs/>
          <w:color w:val="00000A"/>
          <w:sz w:val="24"/>
          <w:szCs w:val="24"/>
          <w:lang w:val="ru-RU"/>
        </w:rPr>
      </w:pP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до рішення 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виконкому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 Менської міської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 р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ади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від 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2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4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 листопада 2020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року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  <w:lang w:val="ru-RU"/>
        </w:rPr>
        <w:t xml:space="preserve">“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Про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погодження П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рограми 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  <w:lang w:val="ru-RU"/>
        </w:rPr>
        <w:t xml:space="preserve">“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Міський автобус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  <w:lang w:val="ru-RU"/>
        </w:rPr>
        <w:t xml:space="preserve">”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 перевезення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пасажирів по м. Мена 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на 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2021 рік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та Порядку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відшкодування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різниці між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тариф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ом на послуги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 перевезення пасажирів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та вартістю квитка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  <w:lang w:val="ru-RU"/>
        </w:rPr>
        <w:t xml:space="preserve">”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  <w:lang w:val="ru-RU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TimesNewRomanPSMT"/>
          <w:bCs/>
          <w:color w:val="00000A"/>
          <w:sz w:val="24"/>
          <w:szCs w:val="24"/>
          <w:lang w:val="ru-RU"/>
        </w:rPr>
      </w:pP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  <w:lang w:val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NewRomanPSMT"/>
          <w:bCs/>
          <w:color w:val="00000A"/>
          <w:sz w:val="24"/>
          <w:szCs w:val="24"/>
          <w:lang w:val="ru-RU"/>
        </w:rPr>
      </w:pP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  <w:lang w:val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NewRomanPSMT"/>
          <w:bCs/>
          <w:color w:val="00000A"/>
          <w:sz w:val="24"/>
          <w:szCs w:val="24"/>
          <w:lang w:val="ru-RU"/>
        </w:rPr>
      </w:pP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  <w:lang w:val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NewRomanPSMT"/>
          <w:bCs/>
          <w:color w:val="00000A"/>
          <w:sz w:val="24"/>
          <w:szCs w:val="24"/>
          <w:lang w:val="ru-RU"/>
        </w:rPr>
      </w:pP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  <w:lang w:val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NewRomanPSMT"/>
          <w:bCs/>
          <w:color w:val="00000A"/>
          <w:sz w:val="24"/>
          <w:szCs w:val="24"/>
          <w:lang w:val="ru-RU"/>
        </w:rPr>
      </w:pP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  <w:lang w:val="ru-RU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 w:eastAsia="TimesNewRomanPSMT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b/>
          <w:bCs/>
          <w:color w:val="00000A"/>
          <w:sz w:val="28"/>
          <w:szCs w:val="28"/>
        </w:rPr>
        <w:t xml:space="preserve">ПРОГРАМА</w:t>
      </w:r>
      <w:r/>
    </w:p>
    <w:p>
      <w:pPr>
        <w:jc w:val="center"/>
        <w:spacing w:lineRule="auto" w:line="360" w:after="0"/>
        <w:rPr>
          <w:rFonts w:ascii="Times New Roman" w:hAnsi="Times New Roman" w:cs="Times New Roman" w:eastAsia="TimesNewRomanPSMT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b/>
          <w:bCs/>
          <w:color w:val="00000A"/>
          <w:sz w:val="28"/>
          <w:szCs w:val="28"/>
          <w:lang w:val="ru-RU"/>
        </w:rPr>
        <w:t xml:space="preserve">“</w:t>
      </w:r>
      <w:r>
        <w:rPr>
          <w:rFonts w:ascii="Times New Roman" w:hAnsi="Times New Roman" w:cs="Times New Roman" w:eastAsia="TimesNewRomanPSMT"/>
          <w:b/>
          <w:bCs/>
          <w:color w:val="00000A"/>
          <w:sz w:val="28"/>
          <w:szCs w:val="28"/>
        </w:rPr>
        <w:t xml:space="preserve">Міський автобус</w:t>
      </w:r>
      <w:r>
        <w:rPr>
          <w:rFonts w:ascii="Times New Roman" w:hAnsi="Times New Roman" w:cs="Times New Roman" w:eastAsia="TimesNewRomanPSMT"/>
          <w:b/>
          <w:bCs/>
          <w:color w:val="00000A"/>
          <w:sz w:val="28"/>
          <w:szCs w:val="28"/>
          <w:lang w:val="ru-RU"/>
        </w:rPr>
        <w:t xml:space="preserve">”</w:t>
      </w:r>
      <w:r>
        <w:rPr>
          <w:rFonts w:ascii="Times New Roman" w:hAnsi="Times New Roman" w:cs="Times New Roman" w:eastAsia="TimesNewRomanPSMT"/>
          <w:b/>
          <w:bCs/>
          <w:color w:val="00000A"/>
          <w:sz w:val="28"/>
          <w:szCs w:val="28"/>
        </w:rPr>
        <w:t xml:space="preserve"> перевезення пасажирів </w:t>
      </w:r>
      <w:r/>
    </w:p>
    <w:p>
      <w:pPr>
        <w:jc w:val="center"/>
        <w:spacing w:lineRule="auto" w:line="360" w:after="0"/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</w:pPr>
      <w:r>
        <w:rPr>
          <w:rFonts w:ascii="Times New Roman" w:hAnsi="Times New Roman" w:cs="Times New Roman" w:eastAsia="TimesNewRomanPSMT"/>
          <w:b/>
          <w:bCs/>
          <w:color w:val="00000A"/>
          <w:sz w:val="28"/>
          <w:szCs w:val="28"/>
        </w:rPr>
        <w:t xml:space="preserve">по місту Мена на </w:t>
      </w:r>
      <w:r>
        <w:rPr>
          <w:rFonts w:ascii="Times New Roman" w:hAnsi="Times New Roman" w:cs="Times New Roman" w:eastAsia="TimesNewRomanPSMT"/>
          <w:b/>
          <w:bCs/>
          <w:color w:val="00000A"/>
          <w:sz w:val="28"/>
          <w:szCs w:val="28"/>
        </w:rPr>
        <w:t xml:space="preserve">2021 </w:t>
      </w:r>
      <w:r>
        <w:rPr>
          <w:rFonts w:ascii="Times New Roman" w:hAnsi="Times New Roman" w:cs="Times New Roman" w:eastAsia="TimesNewRomanPSMT"/>
          <w:b/>
          <w:bCs/>
          <w:color w:val="00000A"/>
          <w:sz w:val="28"/>
          <w:szCs w:val="28"/>
        </w:rPr>
        <w:t xml:space="preserve">р</w:t>
      </w:r>
      <w:r>
        <w:rPr>
          <w:rFonts w:ascii="Times New Roman" w:hAnsi="Times New Roman" w:cs="Times New Roman" w:eastAsia="TimesNewRomanPSMT"/>
          <w:b/>
          <w:bCs/>
          <w:color w:val="00000A"/>
          <w:sz w:val="28"/>
          <w:szCs w:val="28"/>
        </w:rPr>
        <w:t xml:space="preserve">ік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Програми "Міський автобус" перевезення пасажирів по місту Мена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2021</w:t>
      </w:r>
      <w:r>
        <w:rPr>
          <w:rFonts w:ascii="Times New Roman" w:hAnsi="Times New Roman" w:cs="Times New Roman"/>
          <w:sz w:val="28"/>
          <w:szCs w:val="28"/>
        </w:rPr>
        <w:t xml:space="preserve"> роки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color w:val="00000A"/>
          <w:sz w:val="28"/>
          <w:szCs w:val="28"/>
        </w:rPr>
        <w:t xml:space="preserve">1.Ініціатор розроблення програми: 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відділ економічного розвитку та інвестицій Менської міської ради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</w:pPr>
      <w:r>
        <w:rPr>
          <w:rFonts w:ascii="Times New Roman" w:hAnsi="Times New Roman" w:cs="Times New Roman" w:eastAsia="TimesNewRomanPSMT"/>
          <w:color w:val="00000A"/>
          <w:sz w:val="28"/>
          <w:szCs w:val="28"/>
        </w:rPr>
        <w:t xml:space="preserve">2.Дата, номер і назва розпорядчого документа про розроблення програми: 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Закон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України «Про місцеве самоврядування в Україні», «Про автомобільний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транспорт»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3.Розробник програми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  <w:t xml:space="preserve">: 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відділ економічного розвитку та інвестицій Менської міської ради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4.Співрозробники програми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  <w:t xml:space="preserve">: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в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ідділ бухгалтерського обліку та звітності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М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енської міської ради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5.Відповідальний виконавець програми: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відділ економічного розвитку та інвестицій Менської міської ради,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фінансове управління Менської міської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ради, відділ бухгалтерського обліку та звітності Менської міської ради,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постійні комісії Менської міської ради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6.Учасники програми: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Менська міська рада, надавачі послуг з перевезення пасажирів.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7.Термін реалізації програми: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2021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 р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ік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8.Обсяги та джерела фінансування: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будуть визначатися відповідно до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затверджених бюджетом 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громади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  <w:u w:val="single"/>
        </w:rPr>
        <w:t xml:space="preserve"> призначень на виконання програми</w:t>
      </w:r>
      <w:r>
        <w:rPr>
          <w:rFonts w:ascii="Times New Roman" w:hAnsi="Times New Roman" w:cs="Times New Roman" w:eastAsia="TimesNewRomanPSMT"/>
          <w:i/>
          <w:iCs/>
          <w:color w:val="00000A"/>
          <w:sz w:val="28"/>
          <w:szCs w:val="28"/>
        </w:rPr>
        <w:t xml:space="preserve">.</w:t>
      </w:r>
      <w:r/>
    </w:p>
    <w:p>
      <w:pPr>
        <w:rPr>
          <w:rFonts w:ascii="Times New Roman" w:hAnsi="Times New Roman" w:cs="Times New Roman" w:eastAsia="TimesNewRomanPSMT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b/>
          <w:bCs/>
          <w:i/>
          <w:iCs/>
          <w:color w:val="00000A"/>
          <w:sz w:val="28"/>
          <w:szCs w:val="28"/>
        </w:rPr>
        <w:br w:type="page"/>
      </w:r>
      <w:r/>
    </w:p>
    <w:p>
      <w:pPr>
        <w:pStyle w:val="398"/>
        <w:numPr>
          <w:ilvl w:val="0"/>
          <w:numId w:val="13"/>
        </w:numPr>
        <w:jc w:val="both"/>
        <w:spacing w:lineRule="auto" w:line="240" w:after="0"/>
        <w:rPr>
          <w:rFonts w:ascii="Times New Roman" w:hAnsi="Times New Roman" w:cs="Times New Roman" w:eastAsia="TimesNewRomanPSMT"/>
          <w:b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b/>
          <w:bCs/>
          <w:iCs/>
          <w:color w:val="00000A"/>
          <w:sz w:val="28"/>
          <w:szCs w:val="28"/>
        </w:rPr>
        <w:t xml:space="preserve">Визначення проблеми, на розв’язання якої спрямована програма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На сьогодні для задоволення потреб населення м. Мена в пасажирські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перевезення здійснюються за двома автобусними маршрутами загального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користування.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Міська рада в межах своїх повноважень сприяє створенню належних умов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роботи міського автомобільного транспорту. Його стійке і ефективне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функціонування є необхідною умовою покращення умов проживання, рівня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життя та соціального доброту громадян.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Проблемним питанням залишається розмір компенсації автоперевізникам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за перевезення громадян міста. Рівень доходів міського населення не дозволяє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привести міські тарифи на автобусні перевезення до повної відповідності з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сучасними витратами на перевезення.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З метою забезпечення потреб мешканців міста в наданні якісних послуг у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сфері міських пасажирських перевезень автомобільним транспортом загального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користування та розв’язання соціально важливих проблем компенсації за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перевезення громадян у місті Мена, розроблено програму пасажирських перевезень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  <w:lang w:val="ru-RU"/>
        </w:rPr>
        <w:t xml:space="preserve">“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Міський автобус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  <w:lang w:val="ru-RU"/>
        </w:rPr>
        <w:t xml:space="preserve">”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на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2021 рік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(далі Програма)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NewRomanPSMT"/>
          <w:b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b/>
          <w:bCs/>
          <w:iCs/>
          <w:color w:val="00000A"/>
          <w:sz w:val="28"/>
          <w:szCs w:val="28"/>
        </w:rPr>
        <w:t xml:space="preserve">2.</w:t>
      </w:r>
      <w:r>
        <w:rPr>
          <w:rFonts w:ascii="Times New Roman" w:hAnsi="Times New Roman" w:cs="Times New Roman" w:eastAsia="TimesNewRomanPSMT"/>
          <w:b/>
          <w:bCs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b/>
          <w:bCs/>
          <w:iCs/>
          <w:color w:val="00000A"/>
          <w:sz w:val="28"/>
          <w:szCs w:val="28"/>
        </w:rPr>
        <w:t xml:space="preserve">Визначення мети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Метою політики в галузі пасажирських перевезень є гарантоване та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ефективне задоволення потреб населення міста в безпечності та якості надання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послуг з пасажирських перевезень.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Програма розвитку пасажирського перевезень розроблено на основі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аналізу сучасного стану пасажирських перевезень, враховуючи основні заходи,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напрямки та цілі розвитку ринку пасажирських перевезень та безпеки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дорожнього руху.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Програма реалізується шляхом розробки, затвердження та реалізації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відповідних положень у напрямку розвитку та удосконалення маршрутної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мережі міста, якості перевезень, вимог до перевізників, удосконалення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інвестиційної, тарифної політики, безпеки дорожнього руху тощо.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Витрати перевізника відшкодовуються відповідно до наданої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п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еревізником звітності.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Програма передбачає розв’язання таких завдань: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- утворення умов удосконалення транспортної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складової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економічного і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соціального розвитку міста;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- підвищення рівня забезпечення населення міста якісними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пасажирськими перевезеннями.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NewRomanPSMT"/>
          <w:b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b/>
          <w:bCs/>
          <w:iCs/>
          <w:color w:val="00000A"/>
          <w:sz w:val="28"/>
          <w:szCs w:val="28"/>
        </w:rPr>
        <w:t xml:space="preserve">3.</w:t>
      </w:r>
      <w:r>
        <w:rPr>
          <w:rFonts w:ascii="Times New Roman" w:hAnsi="Times New Roman" w:cs="Times New Roman" w:eastAsia="TimesNewRomanPSMT"/>
          <w:b/>
          <w:bCs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b/>
          <w:bCs/>
          <w:iCs/>
          <w:color w:val="00000A"/>
          <w:sz w:val="28"/>
          <w:szCs w:val="28"/>
        </w:rPr>
        <w:t xml:space="preserve">Обґрунтування шляхів і засобів розв'язання проблеми, обсягів та</w:t>
      </w:r>
      <w:r>
        <w:rPr>
          <w:rFonts w:ascii="Times New Roman" w:hAnsi="Times New Roman" w:cs="Times New Roman" w:eastAsia="TimesNewRomanPSMT"/>
          <w:b/>
          <w:bCs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b/>
          <w:bCs/>
          <w:iCs/>
          <w:color w:val="00000A"/>
          <w:sz w:val="28"/>
          <w:szCs w:val="28"/>
        </w:rPr>
        <w:t xml:space="preserve">джерел фінансування; строки та етапи виконання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Забезпечення виконання завдань програми передбачається шляхом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поетапного та якісного виконання пріоритетних завдань та заходів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виконавцями.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Першочерговими завданнями удосконалення автобусної мережі є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постійний моніторинг її стану, визначення та уточнення пасажиропотоку на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різних напрямках. Поточне коригування автобусної маршрутної мережі, з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урахуванням потреб у необхідній кількості маршрутів. Внаслідок чого на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кожному напрямку всі категорії громадян матимуть змогу задовольнити свої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потреби в пасажирських перевезеннях. Співвідношення між різними режимами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руху, а також типами рухомого складу, його кількістю, визначається із вивчення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пасажиропотоку за категоріями громадян.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Основні вимоги до організації руху автобусної маршрутної мережі: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- охоплення автобусним сполученням максимальної кількості зупинок в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місті;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- співвідношення класу автобуса, його пасажиромісткості та інтервалу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руху на маршрутах;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- облаштування зупинок;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- пріоритетний ремонт автомобільних доріг, покриття вулиць міста.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Фінансове забезпечення програми здійснюватиметься в межах бюджетних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призначень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бюджету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ОТГ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, коштів підприємств і організацій та інших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джерел фінансування, що не суперечать чинному законодавству також власних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коштів суб’єктів господарювання - перевізників.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NewRomanPSMT"/>
          <w:b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b/>
          <w:bCs/>
          <w:iCs/>
          <w:color w:val="00000A"/>
          <w:sz w:val="28"/>
          <w:szCs w:val="28"/>
        </w:rPr>
        <w:t xml:space="preserve">4.</w:t>
      </w:r>
      <w:r>
        <w:rPr>
          <w:rFonts w:ascii="Times New Roman" w:hAnsi="Times New Roman" w:cs="Times New Roman" w:eastAsia="TimesNewRomanPSMT"/>
          <w:b/>
          <w:bCs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b/>
          <w:bCs/>
          <w:iCs/>
          <w:color w:val="00000A"/>
          <w:sz w:val="28"/>
          <w:szCs w:val="28"/>
        </w:rPr>
        <w:t xml:space="preserve">Перелік завдань і заходів програми та результативні показники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- Створення міських маршрутів відповідно до побажань жителів міста;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- Аналіз та впровадження змін до мережі міських автобусних маршрутів;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- Організація контролю за дотриманням договірних умов на перевезення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пасажирів;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- Здійснення контролю за облаштуванням необхідною інфраструктурою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автобусних маршрутів загального користування;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- Облаштування зупинок міських пасажирських перевезень;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- Компенсація за рахунок коштів бюджету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громади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перевізникам за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перевезення.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NewRomanPSMT"/>
          <w:b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b/>
          <w:bCs/>
          <w:iCs/>
          <w:color w:val="00000A"/>
          <w:sz w:val="28"/>
          <w:szCs w:val="28"/>
        </w:rPr>
        <w:t xml:space="preserve">5.</w:t>
      </w:r>
      <w:r>
        <w:rPr>
          <w:rFonts w:ascii="Times New Roman" w:hAnsi="Times New Roman" w:cs="Times New Roman" w:eastAsia="TimesNewRomanPSMT"/>
          <w:b/>
          <w:bCs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b/>
          <w:bCs/>
          <w:iCs/>
          <w:color w:val="00000A"/>
          <w:sz w:val="28"/>
          <w:szCs w:val="28"/>
        </w:rPr>
        <w:t xml:space="preserve">Напрями діяльності та заходи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Головними напрямами програми є: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- реалізація засад державної політики у сфері пасажирського транспорту;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- створення рівних умов для роботи суб’єктів господарювання, що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здійснюють пасажирські перевезення, забезпечення рівної конкуренції та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прозорості під час проведення конкурсів на міські автобусні маршрути;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- належне утримання рухомого складу міського пасажирського транспорту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та забезпечення безпеки дорожнього руху;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- оптимізація тарифної політики та забезпечення перевезення пільгових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категорій громадян;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- створення міської інфраструктури пасажирських перевезень та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t xml:space="preserve">пріоритетний ремонт дорожнього полотна, де пролягають автобусні маршрути.</w:t>
      </w:r>
      <w:r/>
    </w:p>
    <w:p>
      <w:pPr>
        <w:ind w:firstLine="708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NewRomanPSMT"/>
          <w:b/>
          <w:bCs/>
          <w:iCs/>
          <w:color w:val="00000A"/>
          <w:sz w:val="28"/>
          <w:szCs w:val="28"/>
        </w:rPr>
        <w:t xml:space="preserve">6.</w:t>
      </w:r>
      <w:r>
        <w:rPr>
          <w:rFonts w:ascii="Times New Roman" w:hAnsi="Times New Roman" w:cs="Times New Roman" w:eastAsia="TimesNewRomanPSMT"/>
          <w:b/>
          <w:bCs/>
          <w:iCs/>
          <w:color w:val="00000A"/>
          <w:sz w:val="28"/>
          <w:szCs w:val="28"/>
        </w:rPr>
        <w:t xml:space="preserve">Ресурсне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забезпечення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 програми</w:t>
      </w:r>
      <w:r/>
    </w:p>
    <w:tbl>
      <w:tblPr>
        <w:tblStyle w:val="401"/>
        <w:tblW w:w="0" w:type="auto"/>
        <w:tblLayout w:type="fixed"/>
        <w:tblLook w:val="0000" w:firstRow="0" w:lastRow="0" w:firstColumn="0" w:lastColumn="0" w:noHBand="0" w:noVBand="0"/>
      </w:tblPr>
      <w:tblGrid>
        <w:gridCol w:w="6263"/>
        <w:gridCol w:w="3000"/>
      </w:tblGrid>
      <w:tr>
        <w:trPr>
          <w:trHeight w:val="525"/>
        </w:trPr>
        <w:tc>
          <w:tcPr>
            <w:tcW w:w="62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 xml:space="preserve">Усього витрат на виконання Програми, тис. грн.</w:t>
            </w:r>
            <w:r/>
          </w:p>
        </w:tc>
      </w:tr>
      <w:tr>
        <w:trPr/>
        <w:tc>
          <w:tcPr>
            <w:tcW w:w="6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Обсяг ресурсів, всього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350</w:t>
            </w:r>
            <w:r/>
          </w:p>
        </w:tc>
      </w:tr>
      <w:tr>
        <w:trPr/>
        <w:tc>
          <w:tcPr>
            <w:tcW w:w="6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територіальної громади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2021 рік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350</w:t>
            </w:r>
            <w:r/>
          </w:p>
        </w:tc>
      </w:tr>
    </w:tbl>
    <w:p>
      <w:pP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</w:pPr>
      <w:r>
        <w:rPr>
          <w:rFonts w:ascii="Times New Roman" w:hAnsi="Times New Roman" w:cs="Times New Roman" w:eastAsia="TimesNewRomanPSMT"/>
          <w:iCs/>
          <w:color w:val="00000A"/>
          <w:sz w:val="28"/>
          <w:szCs w:val="28"/>
        </w:rPr>
        <w:br w:type="page"/>
      </w:r>
      <w:r/>
    </w:p>
    <w:p>
      <w:pPr>
        <w:ind w:firstLine="4536"/>
        <w:spacing w:lineRule="auto" w:line="240" w:after="0"/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</w:pP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Додаток 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№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2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 </w:t>
      </w:r>
      <w:r/>
    </w:p>
    <w:p>
      <w:pPr>
        <w:ind w:left="4536"/>
        <w:spacing w:lineRule="auto" w:line="240" w:after="0"/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</w:pP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до рішення виконкому Менської міської 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ради 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від 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2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4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 листопада 2020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 року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“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Про погодження П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рограми 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“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Міський автобус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”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 перевезення пасажирів по м. Мена 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на 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2021 рік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та Порядку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відшкодування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різниці між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тариф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послуги з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перевезення пасажирів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та вартістю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квитка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”</w:t>
      </w: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</w:pPr>
      <w:r>
        <w:rPr>
          <w:rFonts w:ascii="Times New Roman" w:hAnsi="Times New Roman" w:cs="Times New Roman" w:eastAsia="TimesNewRomanPSMT"/>
          <w:bCs/>
          <w:color w:val="00000A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color w:val="444444"/>
          <w:sz w:val="28"/>
          <w:szCs w:val="28"/>
          <w:shd w:val="clear" w:color="auto" w:fill="FFFFFF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Порядок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відшкодування різниці між визначеними виконкомом міської ради тарифом на послуги з перевезення пасажирів на міському автобусному маршруті загального користування  </w:t>
      </w:r>
      <w:bookmarkStart w:id="2" w:name="_Hlk532207583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“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вул. Лермонтова – 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Сіверський шлях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(ПрАТ ШРБУ-82 )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”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проміжні зупинки: вул.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Калинова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МНС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Червоний міст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військомат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готель «Десна»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Троїцький ринок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Менська ЦРЛ – Залізничний вокзал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Автовокзал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філія «Менський сир»</w:t>
      </w:r>
      <w:bookmarkEnd w:id="2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та вартістю квитка на перевезення одного пасажира на автобусному маршруті  загального користування </w:t>
      </w:r>
      <w:bookmarkStart w:id="3" w:name="_Hlk532208033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“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вул. Лермонтова – 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Сіверський шлях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(ПрАТ ШРБУ-82 )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”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проміжні зупинки: вул.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Калинова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МНС-Червоний міст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військомат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готель «Десна»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Троїцький ринок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Менська ЦРЛ – Залізничний вокзал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Автовокзал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філія «Менський сир»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та </w:t>
      </w:r>
      <w:bookmarkStart w:id="4" w:name="_Hlk532207501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“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вул. Сидоренка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Сіверський шлях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”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проміжні зупинки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магазин «Берізка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ЦКДМ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 Березня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1 Травня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Менська ЦРЛ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Залізничний вокзал – Автовокзал – філія «Менський сир»</w:t>
      </w:r>
      <w:bookmarkEnd w:id="4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bookmarkEnd w:id="3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та вартістю квитка на перевезення одного пасажира на автобусному маршруті загального користування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“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вул. Сидоренка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Сіверський шлях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”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проміжні зупинки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магазин «Берізка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ЦКДМ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 Березня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1 Травня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Менська ЦРЛ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Залізничний вокзал – Автовокзал – філія «Менський сир».</w:t>
      </w:r>
      <w:r/>
    </w:p>
    <w:p>
      <w:pPr>
        <w:numPr>
          <w:ilvl w:val="0"/>
          <w:numId w:val="10"/>
        </w:numPr>
        <w:jc w:val="center"/>
        <w:spacing w:lineRule="auto" w:line="240" w:after="0"/>
        <w:rPr>
          <w:rFonts w:ascii="Times New Roman" w:hAnsi="Times New Roman" w:cs="Times New Roman" w:eastAsia="Times New Roman"/>
          <w:color w:val="393C3F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Загальні положення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        1.1. Цей Порядок визначає механізм проведення відшкодування  різниці між  визначеними виконкомом міської ради тарифом на послуги з перевезення пасажирів на міському автобусному маршруті загального користування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“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вул. Лермонтова – 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Сіверський шлях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”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проміжні зупинки: вул.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Калинова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МНС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Червоний міст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військомат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готель «Десна»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Троїцький ринок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Менська ЦРЛ – Залізничний вокзал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Автовокзал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філія «Менський сир»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“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вул. Сидоренка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вул.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Сіверський шлях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”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проміжні зупинки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магазин «Берізка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ЦКДМ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вул.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 Березня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вул.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 Травня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Менська ЦРЛ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Залізничний вокзал – Автовокзал – філія «Менський сир»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та вартістю квитка на перевезення одного пасажира на автобусному маршруті  загального користування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“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вул. Лермонтова – 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Сіверський шлях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”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проміжні зупинки: вул.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Калинова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МНС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Червоний міст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військомат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готель «Десна»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Троїцький ринок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Менська ЦРЛ – Залізничний вокзал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Автовокзал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філія «Менський сир»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“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вул. Сидоренка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вул.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Сіверський шлях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”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проміжні зупинки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магазин «Берізка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ЦКДМ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вул.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 Березня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вул.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 Травня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Менська ЦРЛ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Залізничний вокзал – Автовокзал – філія «Менський сир»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 рахунок  коштів міського  бюджету.</w:t>
      </w:r>
      <w:r/>
    </w:p>
    <w:p>
      <w:pPr>
        <w:jc w:val="both"/>
        <w:spacing w:lineRule="atLeast" w:line="185" w:after="95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1.2. Порядок  розроблений відповідно до Програми 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статей 7 та 37 Закону України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“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 автомобільний транспо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рт”,  статті 30 Закону України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“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 місцеве самоврядування в Україні”.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        1.3. Загальна сума відшкодування різниці між встановленим виконкомом міської ради тарифом та ціною квитка на перевезення одного пасажира на автобусному маршруті  №1,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№2 по м. Мена, визначається кошторисними призначеннями на відповідний рік за рахунок коштів місцевого  бюджету. Відшкодування  проводиться на підставі договору, укладеного між  Менською міською радою  (головний розпорядник бюджетних коштів) 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виконувач послуг, визначений за результатами конкурсу (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далі надавач послуг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 </w:t>
      </w:r>
      <w:r/>
    </w:p>
    <w:p>
      <w:pPr>
        <w:pStyle w:val="398"/>
        <w:numPr>
          <w:ilvl w:val="0"/>
          <w:numId w:val="10"/>
        </w:num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4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8"/>
          <w:szCs w:val="24"/>
          <w:lang w:eastAsia="ru-RU"/>
        </w:rPr>
        <w:t xml:space="preserve">Перевезення  громадян</w:t>
      </w:r>
      <w:r/>
    </w:p>
    <w:p>
      <w:pPr>
        <w:ind w:left="360"/>
        <w:jc w:val="center"/>
        <w:keepNext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8"/>
          <w:szCs w:val="24"/>
          <w:lang w:eastAsia="ru-RU"/>
        </w:rPr>
        <w:t xml:space="preserve">автомобільним транспортом міського сполучення.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2.1. Обслуговування пасажирів здійснюється перевізником у відповідності із: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         - Законом України «Про автомобільний транспорт» від 05.04.2001 № 2344-ІІІ;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         - Законом України «Про дорожній  рух» від 30.06.1993р. № 3353–12;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         - наказом Міністерства інфраструктури України від 15.07.2013  № 480 «Про затвердження Порядку організації перевезень пасажирів та багажу автомобільним транспортом»;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        - іншими  законодавчими та нормативними актами, що регулюють відносини у відповідній сфері 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        Водій,  регулюючи розміщення  пасажирів у  межах норм перевезень,  забезпечує  рівномірну посадку громадян, в  порядку загальної  черги.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2.2. У разі порушень – відміни рейсів, руху з порушенням затвердженого графіка та інше, сума, визн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ачена   автотранспортним підприємством до відшкодування за звітний місяць може бути зменшена за  кожний  зафіксований випадок. А в разі допущення трьох і більше випадків порушення в місяць  Менська міська рада  подає пропозиції  щодо розірвання договору з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надавачем послуг.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2.3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Надавач послуг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несе повну відповідальність за достовірність даних в поданих розрахунках .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3. Порядок відшкодування витрат.</w:t>
      </w:r>
      <w:r/>
    </w:p>
    <w:p>
      <w:pPr>
        <w:ind w:firstLine="708"/>
        <w:spacing w:lineRule="atLeast" w:line="185" w:after="95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3.1  Головний розпорядник  коштів   –    Менська міська рада.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3.2.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Надавач послуг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який здійснює перевезення   громадян міста в рамках програми „Міський автобус”, з метою отримання коштів з бюджету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громади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відшкодування різниці між тарифом і ціною квитка надає Менській  міській раді фактичні розрахунки витрат та акти звірки щомісячно, до 5 числа місяця, наступного за звітним. (зразок розрахунку додається). </w:t>
      </w:r>
      <w:r/>
    </w:p>
    <w:p>
      <w:pPr>
        <w:ind w:firstLine="708"/>
        <w:jc w:val="both"/>
        <w:spacing w:lineRule="atLeast" w:line="185" w:after="95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3.3. Менська  міська рада згідно розрахунку  витрат на перевезення  мешканців  міста міським автобусом та акту звірки з перевізником реєструє фінансові зобов’язання та перераховує кошти  по відшкодуванню різниці між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визначеним виконкомом міської ради тарифом на послуги з перевезення пасажирів на міському автобусному маршруті загального користування по маршруту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№1 та №2, відповідно до бюджетних призначень.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3.4. Виконання зобов’язань головного розпорядника бюджетних коштів   передбачаються  у відповідності з даними Розрахунку витрат та в межах виділених кошторисних призначень.</w:t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br w:type="page"/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left="4956"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Додаток </w:t>
      </w:r>
      <w:r/>
    </w:p>
    <w:p>
      <w:pPr>
        <w:ind w:left="708" w:firstLine="4962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до </w:t>
      </w:r>
      <w:r>
        <w:rPr>
          <w:rFonts w:ascii="Times New Roman" w:hAnsi="Times New Roman" w:cs="Times New Roman" w:eastAsia="Times New Roman"/>
          <w:sz w:val="24"/>
          <w:szCs w:val="28"/>
          <w:lang w:eastAsia="ru-RU"/>
        </w:rPr>
        <w:t xml:space="preserve">«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Порядку відшкодування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різниці між тарифом на послуги</w:t>
      </w:r>
      <w:r/>
    </w:p>
    <w:p>
      <w:pPr>
        <w:ind w:left="708" w:firstLine="4962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еревезення пасажирів та </w:t>
      </w:r>
      <w:r/>
    </w:p>
    <w:p>
      <w:pPr>
        <w:ind w:left="708" w:firstLine="4962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ртістю квитка </w:t>
      </w:r>
      <w:r>
        <w:rPr>
          <w:rFonts w:ascii="Times New Roman" w:hAnsi="Times New Roman" w:cs="Times New Roman" w:eastAsia="Times New Roman"/>
          <w:sz w:val="24"/>
          <w:szCs w:val="28"/>
          <w:lang w:eastAsia="ru-RU"/>
        </w:rPr>
        <w:t xml:space="preserve">»</w:t>
      </w:r>
      <w:r/>
    </w:p>
    <w:p>
      <w:pPr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</w:r>
      <w:r/>
    </w:p>
    <w:p>
      <w:pPr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 О З Р А Х У Н О К</w:t>
      </w:r>
      <w:r/>
    </w:p>
    <w:p>
      <w:pPr>
        <w:jc w:val="both"/>
        <w:spacing w:lineRule="atLeast" w:line="185" w:after="95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розміру відшкодування  різниці між встановленими виконкомом міської ради тарифом для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надавача послуг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 послуги з перевезення пасажирів на міському автобусному маршруті загального користування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“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вул. Лермонтова – 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Сіверський шлях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”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проміжні зупинки: вул.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Калинова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МНС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Червоний міст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військомат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готель «Десна»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Троїцький ринок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Менська ЦРЛ – Залізничний вокзал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Автовокзал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філія «Менський сир»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та №2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“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вул. Сидоренка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вул.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Сіверський шлях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”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проміжні зупинки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магазин «Берізка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ЦКДМ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вул.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 Березня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вул.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 Травня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Менська ЦРЛ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Залізничний вокзал – Автовокзал – філія «Менський сир»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та вартістю квитка</w:t>
      </w:r>
      <w:r/>
    </w:p>
    <w:p>
      <w:pPr>
        <w:jc w:val="center"/>
        <w:spacing w:lineRule="atLeast" w:line="185" w:after="95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tLeast" w:line="185" w:after="95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за_____________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2021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ік</w:t>
      </w:r>
      <w:r/>
    </w:p>
    <w:p>
      <w:pPr>
        <w:jc w:val="center"/>
        <w:spacing w:lineRule="atLeast" w:line="185" w:after="95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lineRule="atLeast" w:line="185" w:after="95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tbl>
      <w:tblPr>
        <w:tblW w:w="0" w:type="auto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140"/>
        <w:gridCol w:w="1380"/>
      </w:tblGrid>
      <w:tr>
        <w:trPr/>
        <w:tc>
          <w:tcPr>
            <w:tcW w:w="8154" w:type="dxa"/>
            <w:textDirection w:val="lrTb"/>
            <w:noWrap w:val="false"/>
          </w:tcPr>
          <w:p>
            <w:pPr>
              <w:spacing w:lineRule="atLeast" w:line="185" w:after="9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1.    Кількість  рейсів   за  день   відповідно до розкладу руху</w:t>
            </w:r>
            <w:r/>
          </w:p>
        </w:tc>
        <w:tc>
          <w:tcPr>
            <w:tcW w:w="1386" w:type="dxa"/>
            <w:textDirection w:val="lrTb"/>
            <w:noWrap w:val="false"/>
          </w:tcPr>
          <w:p>
            <w:pPr>
              <w:spacing w:lineRule="atLeast" w:line="185" w:after="9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475"/>
        </w:trPr>
        <w:tc>
          <w:tcPr>
            <w:tcW w:w="8154" w:type="dxa"/>
            <w:textDirection w:val="lrTb"/>
            <w:noWrap w:val="false"/>
          </w:tcPr>
          <w:p>
            <w:pPr>
              <w:spacing w:lineRule="atLeast" w:line="185" w:after="9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2.    Кількість  робочих  днів   за місяць  </w:t>
            </w:r>
            <w:r/>
          </w:p>
        </w:tc>
        <w:tc>
          <w:tcPr>
            <w:tcW w:w="1386" w:type="dxa"/>
            <w:textDirection w:val="lrTb"/>
            <w:noWrap w:val="false"/>
          </w:tcPr>
          <w:p>
            <w:pPr>
              <w:spacing w:lineRule="atLeast" w:line="185" w:after="9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51"/>
        </w:trPr>
        <w:tc>
          <w:tcPr>
            <w:tcW w:w="8154" w:type="dxa"/>
            <w:textDirection w:val="lrTb"/>
            <w:noWrap w:val="false"/>
          </w:tcPr>
          <w:p>
            <w:pPr>
              <w:spacing w:lineRule="atLeast" w:line="185" w:after="9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3.    Кількість виконаних рейсів   за місяць    </w:t>
            </w:r>
            <w:r/>
          </w:p>
        </w:tc>
        <w:tc>
          <w:tcPr>
            <w:tcW w:w="1386" w:type="dxa"/>
            <w:textDirection w:val="lrTb"/>
            <w:noWrap w:val="false"/>
          </w:tcPr>
          <w:p>
            <w:pPr>
              <w:spacing w:lineRule="atLeast" w:line="185" w:after="9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692"/>
        </w:trPr>
        <w:tc>
          <w:tcPr>
            <w:tcW w:w="8154" w:type="dxa"/>
            <w:textDirection w:val="lrTb"/>
            <w:noWrap w:val="false"/>
          </w:tcPr>
          <w:p>
            <w:pPr>
              <w:spacing w:lineRule="atLeast" w:line="185" w:after="95" w:afterAutospacing="1" w:before="100" w:beforeAutospacing="1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4.    Відсоток виконаних рейсів за місяць по відношенню до кількості робочих днів в звітному місяці</w:t>
            </w:r>
            <w:r/>
          </w:p>
        </w:tc>
        <w:tc>
          <w:tcPr>
            <w:tcW w:w="1386" w:type="dxa"/>
            <w:textDirection w:val="lrTb"/>
            <w:noWrap w:val="false"/>
          </w:tcPr>
          <w:p>
            <w:pPr>
              <w:spacing w:lineRule="atLeast" w:line="185" w:after="9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407"/>
        </w:trPr>
        <w:tc>
          <w:tcPr>
            <w:tcW w:w="8154" w:type="dxa"/>
            <w:textDirection w:val="lrTb"/>
            <w:noWrap w:val="false"/>
          </w:tcPr>
          <w:p>
            <w:pPr>
              <w:spacing w:lineRule="atLeast" w:line="185" w:after="95" w:afterAutospacing="1" w:before="100" w:beforeAutospacing="1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5.    Кількість рейсів виконаних резервним автобусом </w:t>
            </w:r>
            <w:r/>
          </w:p>
        </w:tc>
        <w:tc>
          <w:tcPr>
            <w:tcW w:w="1386" w:type="dxa"/>
            <w:textDirection w:val="lrTb"/>
            <w:noWrap w:val="false"/>
          </w:tcPr>
          <w:p>
            <w:pPr>
              <w:spacing w:lineRule="atLeast" w:line="185" w:after="9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475"/>
        </w:trPr>
        <w:tc>
          <w:tcPr>
            <w:tcW w:w="8154" w:type="dxa"/>
            <w:textDirection w:val="lrTb"/>
            <w:noWrap w:val="false"/>
          </w:tcPr>
          <w:p>
            <w:pPr>
              <w:spacing w:lineRule="atLeast" w:line="185" w:after="9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6.    Кількість  перевезених пасажирів за проданими квитками за 1 місяць      </w:t>
            </w:r>
            <w:r/>
          </w:p>
        </w:tc>
        <w:tc>
          <w:tcPr>
            <w:tcW w:w="1386" w:type="dxa"/>
            <w:textDirection w:val="lrTb"/>
            <w:noWrap w:val="false"/>
          </w:tcPr>
          <w:p>
            <w:pPr>
              <w:spacing w:lineRule="atLeast" w:line="185" w:after="9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475"/>
        </w:trPr>
        <w:tc>
          <w:tcPr>
            <w:tcW w:w="8154" w:type="dxa"/>
            <w:textDirection w:val="lrTb"/>
            <w:noWrap w:val="false"/>
          </w:tcPr>
          <w:p>
            <w:pPr>
              <w:spacing w:lineRule="atLeast" w:line="185" w:after="9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7.    Різниця між  встановленою вартістю квитка та  встановленим тарифом  </w:t>
            </w:r>
            <w:r/>
          </w:p>
        </w:tc>
        <w:tc>
          <w:tcPr>
            <w:tcW w:w="1386" w:type="dxa"/>
            <w:textDirection w:val="lrTb"/>
            <w:noWrap w:val="false"/>
          </w:tcPr>
          <w:p>
            <w:pPr>
              <w:spacing w:lineRule="atLeast" w:line="185" w:after="9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475"/>
        </w:trPr>
        <w:tc>
          <w:tcPr>
            <w:tcW w:w="8154" w:type="dxa"/>
            <w:textDirection w:val="lrTb"/>
            <w:noWrap w:val="false"/>
          </w:tcPr>
          <w:p>
            <w:pPr>
              <w:spacing w:lineRule="atLeast" w:line="185" w:after="9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8.   Сума, що підлягає відшкодуванню за перевезених  пасажирів  за 1 місяць  </w:t>
            </w:r>
            <w:r/>
          </w:p>
        </w:tc>
        <w:tc>
          <w:tcPr>
            <w:tcW w:w="1386" w:type="dxa"/>
            <w:textDirection w:val="lrTb"/>
            <w:noWrap w:val="false"/>
          </w:tcPr>
          <w:p>
            <w:pPr>
              <w:spacing w:lineRule="atLeast" w:line="185" w:after="95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</w:tbl>
    <w:p>
      <w:pPr>
        <w:ind w:left="540" w:hanging="540"/>
        <w:spacing w:lineRule="atLeast" w:line="185" w:after="95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left="540" w:hanging="540"/>
        <w:spacing w:lineRule="auto" w:line="240" w:after="95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B0609030804020204"/>
  </w:font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94"/>
    <w:next w:val="39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9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4"/>
    <w:next w:val="39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4"/>
    <w:next w:val="39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4"/>
    <w:next w:val="39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4"/>
    <w:next w:val="39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4"/>
    <w:next w:val="39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4"/>
    <w:next w:val="39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4"/>
    <w:next w:val="39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4"/>
    <w:next w:val="39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4"/>
    <w:next w:val="39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5"/>
    <w:link w:val="32"/>
    <w:uiPriority w:val="10"/>
    <w:rPr>
      <w:sz w:val="48"/>
      <w:szCs w:val="48"/>
    </w:rPr>
  </w:style>
  <w:style w:type="paragraph" w:styleId="34">
    <w:name w:val="Subtitle"/>
    <w:basedOn w:val="394"/>
    <w:next w:val="39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5"/>
    <w:link w:val="34"/>
    <w:uiPriority w:val="11"/>
    <w:rPr>
      <w:sz w:val="24"/>
      <w:szCs w:val="24"/>
    </w:rPr>
  </w:style>
  <w:style w:type="paragraph" w:styleId="36">
    <w:name w:val="Quote"/>
    <w:basedOn w:val="394"/>
    <w:next w:val="39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4"/>
    <w:next w:val="39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5"/>
    <w:link w:val="40"/>
    <w:uiPriority w:val="99"/>
  </w:style>
  <w:style w:type="paragraph" w:styleId="42">
    <w:name w:val="Footer"/>
    <w:basedOn w:val="39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5"/>
    <w:link w:val="42"/>
    <w:uiPriority w:val="99"/>
  </w:style>
  <w:style w:type="table" w:styleId="45">
    <w:name w:val="Table Grid Light"/>
    <w:basedOn w:val="3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5"/>
    <w:uiPriority w:val="99"/>
    <w:unhideWhenUsed/>
    <w:rPr>
      <w:vertAlign w:val="superscript"/>
    </w:rPr>
  </w:style>
  <w:style w:type="paragraph" w:styleId="174">
    <w:name w:val="toc 1"/>
    <w:basedOn w:val="394"/>
    <w:next w:val="39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4"/>
    <w:next w:val="39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4"/>
    <w:next w:val="39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4"/>
    <w:next w:val="39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4"/>
    <w:next w:val="39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4"/>
    <w:next w:val="39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4"/>
    <w:next w:val="39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4"/>
    <w:next w:val="39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4"/>
    <w:next w:val="39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4" w:default="1">
    <w:name w:val="Normal"/>
    <w:qFormat/>
  </w:style>
  <w:style w:type="character" w:styleId="395" w:default="1">
    <w:name w:val="Default Paragraph Font"/>
    <w:uiPriority w:val="1"/>
    <w:semiHidden/>
    <w:unhideWhenUsed/>
  </w:style>
  <w:style w:type="table" w:styleId="3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7" w:default="1">
    <w:name w:val="No List"/>
    <w:uiPriority w:val="99"/>
    <w:semiHidden/>
    <w:unhideWhenUsed/>
  </w:style>
  <w:style w:type="paragraph" w:styleId="398">
    <w:name w:val="List Paragraph"/>
    <w:basedOn w:val="394"/>
    <w:qFormat/>
    <w:uiPriority w:val="34"/>
    <w:pPr>
      <w:contextualSpacing w:val="true"/>
      <w:ind w:left="720"/>
    </w:pPr>
  </w:style>
  <w:style w:type="paragraph" w:styleId="399">
    <w:name w:val="Balloon Text"/>
    <w:basedOn w:val="394"/>
    <w:link w:val="40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400" w:customStyle="1">
    <w:name w:val="Текст у виносці Знак"/>
    <w:basedOn w:val="395"/>
    <w:link w:val="399"/>
    <w:uiPriority w:val="99"/>
    <w:semiHidden/>
    <w:rPr>
      <w:rFonts w:ascii="Segoe UI" w:hAnsi="Segoe UI" w:cs="Segoe UI"/>
      <w:sz w:val="18"/>
      <w:szCs w:val="18"/>
    </w:rPr>
  </w:style>
  <w:style w:type="table" w:styleId="401">
    <w:name w:val="Table Grid"/>
    <w:basedOn w:val="39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Бернадська Тетяна Анатоліївна</cp:lastModifiedBy>
  <cp:revision>4</cp:revision>
  <dcterms:created xsi:type="dcterms:W3CDTF">2020-11-13T13:19:00Z</dcterms:created>
  <dcterms:modified xsi:type="dcterms:W3CDTF">2020-11-17T14:18:17Z</dcterms:modified>
</cp:coreProperties>
</file>