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9525" b="9525"/>
                <wp:docPr id="1" name="Рисунок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   ПРОЄ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КТ РІШЕННЯ</w:t>
      </w:r>
      <w:r/>
    </w:p>
    <w:p>
      <w:pPr>
        <w:ind w:firstLine="45"/>
        <w:spacing w:lineRule="auto" w:line="240" w:after="0"/>
        <w:tabs>
          <w:tab w:val="left" w:pos="4962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__ листопада 2020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ab/>
        <w:t xml:space="preserve">№___</w:t>
      </w:r>
      <w:r/>
    </w:p>
    <w:p>
      <w:pPr>
        <w:ind w:left="15" w:hanging="15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right="4960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погодження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Програми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відшкодування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різниці</w:t>
      </w:r>
      <w:r>
        <w:rPr>
          <w:rFonts w:ascii="Times New Roman" w:hAnsi="Times New Roman"/>
          <w:b/>
          <w:sz w:val="28"/>
          <w:szCs w:val="28"/>
        </w:rPr>
        <w:t xml:space="preserve"> в тарифах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послуги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централізованого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водовідведення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населення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 Менській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міській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ОТГ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на 2021-2022 роки</w:t>
      </w:r>
      <w:r/>
    </w:p>
    <w:p>
      <w:pPr>
        <w:ind w:right="5102"/>
        <w:jc w:val="both"/>
        <w:spacing w:lineRule="auto" w:line="240"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pStyle w:val="392"/>
        <w:rPr>
          <w:lang w:val="uk-UA" w:eastAsia="ru-RU"/>
        </w:rPr>
      </w:pPr>
      <w:r>
        <w:rPr>
          <w:szCs w:val="28"/>
          <w:lang w:val="uk-UA"/>
        </w:rPr>
        <w:t xml:space="preserve">Згідно зі ст. 52</w:t>
      </w:r>
      <w:r>
        <w:rPr>
          <w:szCs w:val="28"/>
          <w:lang w:val="uk-UA"/>
        </w:rPr>
        <w:t xml:space="preserve"> Закону України «Про місцеве самоврядування в Україні»</w:t>
      </w:r>
      <w:r>
        <w:rPr>
          <w:szCs w:val="28"/>
        </w:rPr>
        <w:t xml:space="preserve">, </w:t>
      </w:r>
      <w:r>
        <w:rPr>
          <w:lang w:val="uk-UA" w:eastAsia="ru-RU"/>
        </w:rPr>
        <w:t xml:space="preserve">виконавчий комітет Менської міської ради</w:t>
      </w:r>
      <w:r/>
    </w:p>
    <w:p>
      <w:pPr>
        <w:jc w:val="both"/>
        <w:spacing w:lineRule="auto" w:line="240" w:after="120"/>
        <w:rPr>
          <w:rFonts w:ascii="Times New Roman" w:hAnsi="Times New Roman" w:cs="Times New Roman" w:eastAsia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 w:eastAsia="ru-RU"/>
        </w:rPr>
        <w:t xml:space="preserve">В И Р І Ш И В:</w:t>
      </w:r>
      <w:r/>
    </w:p>
    <w:p>
      <w:pPr>
        <w:jc w:val="both"/>
        <w:spacing w:lineRule="auto" w:line="240" w:after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ourier New" w:hAnsi="Courier New" w:cs="Courier New" w:eastAsia="Times New Roman"/>
          <w:b/>
          <w:sz w:val="21"/>
          <w:szCs w:val="28"/>
          <w:lang w:val="uk-UA" w:eastAsia="ar-SA"/>
        </w:rPr>
      </w:pPr>
      <w:r>
        <w:rPr>
          <w:rFonts w:ascii="Courier New" w:hAnsi="Courier New" w:cs="Courier New" w:eastAsia="Times New Roman"/>
          <w:b/>
          <w:sz w:val="21"/>
          <w:szCs w:val="28"/>
          <w:lang w:val="uk-UA" w:eastAsia="ar-SA"/>
        </w:rPr>
      </w:r>
      <w:r/>
    </w:p>
    <w:p>
      <w:pPr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Погодити «Програму відшкодування різниці в тарифах на послуги з це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водовідведення для населення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по Менській міській ОТГ на 2021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2022 роки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» (далі – Програма) згідно додатку до даного рішення – додається.</w:t>
      </w:r>
      <w:r/>
    </w:p>
    <w:p>
      <w:pPr>
        <w:numPr>
          <w:ilvl w:val="0"/>
          <w:numId w:val="7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ar-SA"/>
        </w:rPr>
        <w:t xml:space="preserve">Подати на сесію Менської міської ради дану Програму для розгляду та затвердження.</w:t>
      </w:r>
      <w:r/>
    </w:p>
    <w:p>
      <w:pPr>
        <w:numPr>
          <w:ilvl w:val="0"/>
          <w:numId w:val="7"/>
        </w:numPr>
        <w:jc w:val="both"/>
        <w:spacing w:lineRule="auto" w:line="240" w:after="0"/>
        <w:tabs>
          <w:tab w:val="left" w:pos="426" w:leader="none"/>
        </w:tabs>
        <w:rPr>
          <w:rFonts w:ascii="Times New Roman" w:hAnsi="Times New Roman" w:cs="Times New Roman" w:eastAsia="Calibri"/>
          <w:color w:val="00000A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Calibri"/>
          <w:color w:val="00000A"/>
          <w:sz w:val="28"/>
          <w:szCs w:val="28"/>
          <w:lang w:val="uk-UA" w:eastAsia="ar-SA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</w:t>
      </w:r>
      <w:r>
        <w:rPr>
          <w:rFonts w:ascii="Times New Roman" w:hAnsi="Times New Roman" w:cs="Times New Roman" w:eastAsia="Calibri"/>
          <w:color w:val="00000A"/>
          <w:sz w:val="28"/>
          <w:szCs w:val="28"/>
          <w:lang w:val="uk-UA" w:eastAsia="ar-SA"/>
        </w:rPr>
        <w:t xml:space="preserve">Гайдукевича</w:t>
      </w:r>
      <w:r>
        <w:rPr>
          <w:rFonts w:ascii="Times New Roman" w:hAnsi="Times New Roman" w:cs="Times New Roman" w:eastAsia="Calibri"/>
          <w:color w:val="00000A"/>
          <w:sz w:val="28"/>
          <w:szCs w:val="28"/>
          <w:lang w:val="uk-UA" w:eastAsia="ar-SA"/>
        </w:rPr>
        <w:t xml:space="preserve"> М.В.</w:t>
      </w:r>
      <w:r/>
    </w:p>
    <w:p>
      <w:pPr>
        <w:ind w:firstLine="851"/>
        <w:jc w:val="both"/>
        <w:tabs>
          <w:tab w:val="left" w:pos="567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jc w:val="both"/>
        <w:spacing w:lineRule="auto" w:line="240" w:after="0" w:before="12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Г.А.  Примаков</w:t>
      </w:r>
      <w:r/>
    </w:p>
    <w:p>
      <w:pPr>
        <w:rPr>
          <w:lang w:val="uk-UA"/>
        </w:rPr>
      </w:pPr>
      <w:r>
        <w:rPr>
          <w:lang w:val="uk-UA"/>
        </w:rPr>
      </w:r>
      <w:r/>
    </w:p>
    <w:p>
      <w:pP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br w:type="page"/>
      </w:r>
      <w:r/>
    </w:p>
    <w:p>
      <w:pPr>
        <w:ind w:left="5788"/>
        <w:jc w:val="both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Додаток до проекту рішення виконавчого коміт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ету Менської міської ради від __.__.2020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«Про погодження Програми відшкодування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різниці в тарифах на послуги з це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нтралізованого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водовідведення для населення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 по Менській міській ОТГ на 2021-2022 роки</w:t>
      </w: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  <w:t xml:space="preserve">»</w:t>
      </w:r>
      <w:r/>
    </w:p>
    <w:p>
      <w:pPr>
        <w:ind w:left="6237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  <w:t xml:space="preserve">ПРОГРАМА 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r>
      <w:r/>
    </w:p>
    <w:p>
      <w:pPr>
        <w:jc w:val="center"/>
        <w:spacing w:lineRule="auto" w:line="240" w:after="105"/>
        <w:shd w:val="clear" w:color="auto" w:fill="FFFFFF"/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відшкодування різниці в  тарифах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на послуги з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централізованого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водовідведення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 для  населення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 по Менській міській ОТГ на 2021-2022 ро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к</w:t>
      </w: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  <w:t xml:space="preserve">и</w:t>
      </w:r>
      <w:r/>
    </w:p>
    <w:p>
      <w:pPr>
        <w:spacing w:lineRule="auto" w:line="240" w:after="105"/>
        <w:shd w:val="clear" w:color="auto" w:fill="FFFFFF"/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val="uk-UA"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36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36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36"/>
          <w:szCs w:val="20"/>
          <w:lang w:val="uk-UA" w:eastAsia="ar-S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sz w:val="20"/>
          <w:szCs w:val="20"/>
          <w:lang w:val="uk-UA" w:eastAsia="ar-SA"/>
        </w:rPr>
      </w:r>
      <w:r/>
    </w:p>
    <w:p>
      <w:pP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  <w:lang w:val="uk-UA" w:eastAsia="ar-SA"/>
        </w:rPr>
        <w:br w:type="page"/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1.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1.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  <w:lang w:val="uk-UA" w:eastAsia="ar-SA"/>
        </w:rPr>
        <w:t xml:space="preserve"> Загальна характеристика Програми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8"/>
        <w:gridCol w:w="5020"/>
        <w:gridCol w:w="4010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10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1.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Ініціатор розроблення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Менська міська рада</w:t>
            </w:r>
            <w:r/>
          </w:p>
        </w:tc>
      </w:tr>
      <w:tr>
        <w:trPr>
          <w:trHeight w:val="1587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10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Розробник  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Відділ архітектури, містобудування та житлово-комунального господарства Менської міської ради</w:t>
            </w:r>
            <w:r/>
          </w:p>
        </w:tc>
      </w:tr>
      <w:tr>
        <w:trPr>
          <w:trHeight w:val="702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01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4.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Співрозробники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Фінансове управління Менської міської ради</w:t>
            </w:r>
            <w:r/>
          </w:p>
        </w:tc>
      </w:tr>
      <w:tr>
        <w:trPr>
          <w:trHeight w:val="1420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25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0"/>
                <w:sz w:val="28"/>
                <w:szCs w:val="28"/>
                <w:lang w:val="uk-UA" w:eastAsia="ar-SA"/>
              </w:rPr>
              <w:t xml:space="preserve">5.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Відповідальний виконавець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Відділ архітектури, містобудування та житлово-комунального господарства Менської міської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ради</w:t>
            </w:r>
            <w:r/>
          </w:p>
        </w:tc>
      </w:tr>
      <w:tr>
        <w:trPr>
          <w:trHeight w:val="1297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25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0"/>
                <w:sz w:val="28"/>
                <w:szCs w:val="28"/>
                <w:lang w:val="uk-UA" w:eastAsia="ar-SA"/>
              </w:rPr>
              <w:t xml:space="preserve">6.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Учасники П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Підприємства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– надавач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послуг з централізованого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водовідведення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на території Менської міської ОТГ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Чернігівської області</w:t>
            </w:r>
            <w:r/>
          </w:p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Менська міська рада</w:t>
            </w:r>
            <w:r/>
          </w:p>
        </w:tc>
      </w:tr>
      <w:tr>
        <w:trPr>
          <w:trHeight w:val="528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30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7"/>
                <w:sz w:val="28"/>
                <w:szCs w:val="28"/>
                <w:lang w:val="uk-UA" w:eastAsia="ar-SA"/>
              </w:rPr>
              <w:t xml:space="preserve">7.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Терміни реалізації 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2"/>
                <w:sz w:val="28"/>
                <w:szCs w:val="28"/>
                <w:lang w:val="uk-UA"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  рік</w:t>
            </w:r>
            <w:r/>
          </w:p>
        </w:tc>
      </w:tr>
      <w:tr>
        <w:trPr>
          <w:trHeight w:val="1049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58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8.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10" w:firstLine="14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Перелік   місцевих   бюджетів,   які   приймають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участь у виконанні 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Програми</w:t>
            </w:r>
            <w:r>
              <w:rPr>
                <w:rFonts w:ascii="Times New Roman" w:hAnsi="Times New Roman" w:cs="Times New Roman" w:eastAsia="Times New Roman"/>
                <w:color w:val="000000"/>
                <w:spacing w:val="3"/>
                <w:sz w:val="28"/>
                <w:szCs w:val="28"/>
                <w:lang w:val="uk-UA" w:eastAsia="ar-SA"/>
              </w:rPr>
              <w:t xml:space="preserve"> 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Бюджет Менської міської ОТГ</w:t>
            </w:r>
            <w:r/>
          </w:p>
        </w:tc>
      </w:tr>
      <w:tr>
        <w:trPr>
          <w:trHeight w:val="1065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54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9.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19" w:firstLine="24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Загальний       обсяг       фінансових       ресурсів,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необхідних для реалізації</w:t>
            </w:r>
            <w:r/>
          </w:p>
          <w:p>
            <w:pPr>
              <w:ind w:left="19" w:firstLine="24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Програми,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1000,0</w:t>
            </w:r>
            <w:r/>
          </w:p>
        </w:tc>
      </w:tr>
      <w:tr>
        <w:trPr>
          <w:trHeight w:val="712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54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  <w:t xml:space="preserve">9.1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19" w:firstLine="24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В тому числі бюджетних  коштів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.</w:t>
            </w:r>
            <w:r/>
          </w:p>
          <w:p>
            <w:pPr>
              <w:ind w:left="19" w:firstLine="24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1000,0</w:t>
            </w:r>
            <w:r/>
          </w:p>
        </w:tc>
      </w:tr>
      <w:tr>
        <w:trPr>
          <w:trHeight w:val="697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154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val="uk-UA" w:eastAsia="ar-SA"/>
              </w:rPr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19" w:firstLine="24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З  них  коштів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бюджету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 ОТГ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тис.грн</w:t>
            </w:r>
            <w:r>
              <w:rPr>
                <w:rFonts w:ascii="Times New Roman" w:hAnsi="Times New Roman" w:cs="Times New Roman" w:eastAsia="Times New Roman"/>
                <w:color w:val="000000"/>
                <w:spacing w:val="1"/>
                <w:sz w:val="28"/>
                <w:szCs w:val="28"/>
                <w:lang w:val="uk-UA" w:eastAsia="ar-SA"/>
              </w:rPr>
              <w:t xml:space="preserve">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1000,0</w:t>
            </w:r>
            <w:r/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54" w:type="pct"/>
            <w:textDirection w:val="lrTb"/>
            <w:noWrap w:val="false"/>
          </w:tcPr>
          <w:p>
            <w:pPr>
              <w:ind w:left="91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10.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583" w:type="pct"/>
            <w:textDirection w:val="lrTb"/>
            <w:noWrap w:val="false"/>
          </w:tcPr>
          <w:p>
            <w:pPr>
              <w:ind w:left="24"/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Основні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джерела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фінансування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рограми</w:t>
            </w:r>
            <w:r/>
          </w:p>
        </w:tc>
        <w:tc>
          <w:tcPr>
            <w:shd w:val="clear" w:color="auto" w:fill="FFFFFF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2063" w:type="pct"/>
            <w:textDirection w:val="lrTb"/>
            <w:noWrap w:val="false"/>
          </w:tcPr>
          <w:p>
            <w:pPr>
              <w:spacing w:lineRule="auto" w:line="240" w:after="0"/>
              <w:shd w:val="clear" w:color="auto" w:fill="FFFFFF"/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ar-SA"/>
              </w:rPr>
              <w:t xml:space="preserve">Місцевий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ar-SA"/>
              </w:rPr>
              <w:t xml:space="preserve"> бюджет</w:t>
            </w:r>
            <w:r/>
          </w:p>
        </w:tc>
      </w:tr>
    </w:tbl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r>
      <w:r/>
    </w:p>
    <w:p>
      <w:pP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br w:type="page"/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t xml:space="preserve">1.2</w:t>
      </w: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  <w:t xml:space="preserve"> Визначення  проблеми, на  розв’язання  якої спрямовані заходи  Програми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uk-UA" w:eastAsia="ar-SA"/>
        </w:rPr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сьогоднішній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день послуги з централізованого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водовідведення по місту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Чернігівської області надає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ТОВ «Менський комунальник»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Підприємство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створено 07.04.2011 року.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Основними видами діяльності є надання житлово-комунальних послу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 з водопостачання та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водовідведення.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Власником споруд водопостачання та водовідведення є Менська міська рада.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Послуги з водопостачання  надаються  населенню та  іншим спо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живачам,  використовуючи  дев’ять  артезіанських  свердловин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по водовідв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еденню – при використанні  двох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каналізаційно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– насосних станцій   та  очисних споруд.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Очистку стоків проводить філія «Менський сир» ППКФ «Прометей».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Послуги з водопостачання та водовідведення для жителів смт. Макошине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надає комунальне підприємство Менської міської ради «Менакомунпослуга».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Згідно зі ст. 31 Закону України «Про житлово-комунальні послуги» орган  місцевого  само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врядування (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Менська міська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 рада)  встановлює тарифи на житлово-комунальні послуги  в розмірі не нижче економічно обґрунтованих витрат на їх виробництво.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разі встановлення органом місцевого самоврядування тарифів на житлово-комунальні послуги на рівні, що унеможливлює отримання прибутку, орган, який їх затвердив,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зобов'язаний відшкодувати з відповідного місцевого бюджету виконавцю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різницю між встановленим розміром  цін/тарифів та економічно обґрунтованими витратами на виробництво цих послуг. 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 разі змін цін на складові тарифів, збільшення мінімальної заробітної плати, податків та зборів діюче законодавство, зокрема, постанова Кабінету Мініс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трів України від 01 червня 2011 р. №869 “Про забезпечення єдиного підходу до формування тарифів на житлово-комунальні послуги” з метою недопущення збитковості підприємств, які надають такі послуги, передбачає коригування тарифів за відповідними складовими.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Проте, сама процедура коригування,  організаційні та технологічні зміни на підприємствах, не дозволяють здійснювати коригування діючих тарифів при кожній зміні цін на складові. В результаті на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підприємствах створюються значні суми кредиторської заборгованості, в тому числі по заробітній платі, податках, єдиному соціальному  внеску, оплаті за енергоносії. Виробник  послуг не  в змозі  проводити  поточні  ремонти мереж через  відсутність  коштів.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сьогоднішній  день відсутність  відшкодовування витрат   комун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альних   підприємств  в   розмірі   різниці між фактичними витратами та нарахуваннями за надані послуги відповідно до діючих тарифів ставить під загрозу стабільність забезпечення населення житлово-комунальними послугами належної якості і може призвести до: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припинення або суттєвого обмеження надання цих послуг;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збільшення заборгованості за спожиту електроенергію і інші товаро-матеріальні цінності;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виникнення  заборгованості із заробітної плати;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нарахування підприємствам штрафних санкцій і пені за несвоєчасні і неповні розрахунки за енергоносії та несвоєчасну оплату податкових зобов’язань.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Дана ситуація має сферу негативного впливу на державу, в особі органів місцевого самовря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дування,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підприємств – надавачів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послуг 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централізованого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водопостачання та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водовідведення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на території населених пунктів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споживачів послуг.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Таким чином, виділення коштів на відшкодування різниці в та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рифах для населення з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бюджету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ОТГ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є найбільш реальним джерелом забезпеченн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я фінан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сової   діяльності  підприємств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  в  період   встановлення  тарифів  в  розмірі  меншим  ніж  економічно  обґрунтований   та  в   період  між встановленням нових тарифів.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Видатки на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відшкодування втрат підприємствам - виробникам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 що пов’язані із дією  цін/тарифів на житлово-комунальні послуги, нижчих від розміру економічно обґрунтованих 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итрат на їх виробництво, міська рада передбачає 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бюджеті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Менської міської ОТГ згідно з над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аними підприємствами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очікуваними  розрахунками, що по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годжуються   на  сесії  міської   ради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із Законом України від 28.12.2014 №79-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VIII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Бюджетного кодексу України щодо реформи міжбюджетних відносин» у статті 91 Бюджетного кодексу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(далі – Кодекс)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виключено пункт 4 частини першої. 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Нова редакція статті 91 Кодексу, визначивши видатки місцевих бюджетів, що можуть здійснюватися з усіх місцевих бюджетів, окремо не виділяє видатки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органів місцевого самоврядування на відшкодуванн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Видатки на відшкодування втрат підприємств, що пов'язані із встановленням тарифів на житлово-комунальні послуги на рівні, що унеможливлює отримання прибутку, фінансуються за рахунок коштів відповідного місцевого бюджету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Також згідно із статтею 15 Закону України «Про ціни і ціноутворення» Кабінет Міністрів України, орг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ани виконавчої влади та органи місцевого самоврядування, які встановили державні регульовані ціни на товари в розмірі, нижчому від економічно обґрунтованого розміру, зобов’язані відшкодувати суб’єктам господарювання різницю між такими розмірами за рахунок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коштів</w:t>
      </w: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відповідних бюджетів.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Установлення Кабінетом Міністрі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України, органами виконавчої влади та органами місцевого самоврядування державних регульованих цін на товари в розмірі, нижчому від економічно обґрунтованого розміру, без визначення джерел для відшкодування різниці між такими розмірами за рахунок коштів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відповідних бюджетів не допускається і може бути оскаржено в судовому порядку.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таких умов Міністерство фінансів зауважує, що згідно із статтею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br/>
        <w:t xml:space="preserve">7 Кодексу та статті 61 Закону України «Про місцеве самоврядування в Україні» (далі – Закон) органи місцевого самоврядування мають право самостійно визначати напрями використання бюджетних коштів відповідно до законодавства України.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статті 91 Кодексу, у місцевих бюджетах можуть передбачатися кошти на фінансування інших програм,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пов’язаних з виконанням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повноважень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затверджених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відповідною місце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вою радою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Враховуючи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зазначене, відшкодування органами місцевого самоврядування різниці в тарифах мож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ливе за рахунок коштів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бюджету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Менської ОТГ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 умови прийняття  відповідної  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рограми.</w:t>
      </w:r>
      <w:r/>
    </w:p>
    <w:p>
      <w:pPr>
        <w:ind w:firstLine="85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відображення видатків на відшкодування різниці в тарифах Тимчасовою класифікацією видатків та кредитування місцевих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бюджетів, затвердженою наказом Міністерства фінансів України від 14.01.2011 № 11 «Про бюджетну класифікацію» передбачено код 100601 «Відшкодування різниці між розміром ціни (тарифу) на житлово-комунальні послуги, що затверджувалися або погоджувалися рішенн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органу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місцевого самоврядування, та розміром економічно обґрунтованих витрат на їх виробництво (надання)». 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Дана   Програма розроблена </w:t>
      </w:r>
      <w:r>
        <w:rPr>
          <w:rFonts w:ascii="Times New Roman" w:hAnsi="Times New Roman" w:cs="Times New Roman" w:eastAsia="Times New Roman"/>
          <w:color w:val="444444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виконання та з дотриманням вимог Закону України «Про засади державної регуляторної політики у сфері господарської діяльності» від 11 вересня 2003 р. № 1160-IV, Методики проведення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аналізу впливу регуляторного акту, затвердженої постановою Кабінету Міністрів України від 11 березня 2004 р. № 308, постанови Кабінету Міністрів України від 01 червня 2011 р. №869 “Про забезпечення єдиного підходу до формування тарифів на житлово-комуналь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ні послуги”, Законів України „Про відходи”, „Про житлово-комунальні послуги”, постанови Кабінету Міністрів України від 26.07.2006р. №1010 „Про затвердження Порядку формування тарифів на послуги з вивезення побутових відходів”, «Про ціни і ціноутворення». 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1.3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  Мета  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П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рограми</w:t>
      </w:r>
      <w:r/>
    </w:p>
    <w:p>
      <w:pPr>
        <w:ind w:firstLine="851"/>
        <w:jc w:val="both"/>
        <w:spacing w:lineRule="atLeast" w:line="293" w:after="105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Прийняття даної  Програми   має за мету: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444444"/>
          <w:sz w:val="28"/>
          <w:szCs w:val="28"/>
          <w:lang w:val="uk-UA" w:eastAsia="ru-RU"/>
        </w:rPr>
        <w:t xml:space="preserve">-   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  <w:lang w:val="uk-UA" w:eastAsia="ru-RU"/>
        </w:rPr>
        <w:t xml:space="preserve">прогноз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  <w:lang w:val="uk-UA" w:eastAsia="ru-RU"/>
        </w:rPr>
        <w:t xml:space="preserve">ування та виділення з 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  <w:lang w:val="uk-UA" w:eastAsia="ru-RU"/>
        </w:rPr>
        <w:t xml:space="preserve">бюджету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  <w:lang w:val="uk-UA" w:eastAsia="ru-RU"/>
        </w:rPr>
        <w:t xml:space="preserve"> Менської міської ОТГ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  <w:lang w:val="uk-UA" w:eastAsia="ru-RU"/>
        </w:rPr>
        <w:t xml:space="preserve"> коштів для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відшкодування</w:t>
      </w:r>
      <w:r>
        <w:rPr>
          <w:rFonts w:ascii="Times New Roman" w:hAnsi="Times New Roman" w:cs="Times New Roman" w:eastAsia="Times New Roman"/>
          <w:color w:val="000000"/>
          <w:spacing w:val="-2"/>
          <w:sz w:val="28"/>
          <w:szCs w:val="28"/>
          <w:lang w:val="uk-UA" w:eastAsia="ru-RU"/>
        </w:rPr>
        <w:t xml:space="preserve"> різниці в  діючих тарифах та економічно обґрунтованих витратах, пов’язаних з наданням житлово-комунальних послуг для населення</w:t>
      </w:r>
      <w:r>
        <w:rPr>
          <w:rFonts w:ascii="Times New Roman" w:hAnsi="Times New Roman" w:cs="Times New Roman" w:eastAsia="Times New Roman"/>
          <w:color w:val="444444"/>
          <w:sz w:val="28"/>
          <w:szCs w:val="28"/>
          <w:lang w:val="uk-UA" w:eastAsia="ru-RU"/>
        </w:rPr>
        <w:t xml:space="preserve">;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   забезпечення без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збиткової діяльності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підприємств відповідно до вимог Господарського кодексу України та ст.31 Закону України «Про житлово-комунальні послуги» ;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   збереження кількості і якості надання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послуг з централізованого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водовідведення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нормативному рівні;</w:t>
      </w:r>
      <w:r/>
    </w:p>
    <w:p>
      <w:pPr>
        <w:ind w:right="220" w:firstLine="851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    своєчасне розрахування за надані послуги.</w:t>
      </w:r>
      <w:r/>
    </w:p>
    <w:p>
      <w:pP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/>
      <w:bookmarkStart w:id="0" w:name="_GoBack"/>
      <w:r/>
      <w:bookmarkEnd w:id="0"/>
      <w:r/>
      <w:r/>
    </w:p>
    <w:p>
      <w:pPr>
        <w:jc w:val="center"/>
        <w:spacing w:lineRule="atLeast" w:line="293" w:after="10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1.4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  Шляхи  і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засоби  розв’язання   проблеми, обсяги   та  джерела  фінансування</w:t>
      </w:r>
      <w:r/>
    </w:p>
    <w:p>
      <w:pPr>
        <w:ind w:right="310" w:firstLine="540"/>
        <w:jc w:val="both"/>
        <w:spacing w:lineRule="atLeast" w:line="293" w:after="105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Серед альтернативних способів досягнення цілей даної  Програми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є:</w:t>
      </w:r>
      <w:r/>
    </w:p>
    <w:p>
      <w:pPr>
        <w:ind w:firstLine="540"/>
        <w:jc w:val="center"/>
        <w:spacing w:lineRule="atLeast" w:line="293" w:after="105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 xml:space="preserve">1)</w:t>
      </w:r>
      <w:r>
        <w:rPr>
          <w:rFonts w:ascii="Times New Roman" w:hAnsi="Times New Roman" w:cs="Times New Roman" w:eastAsia="Times New Roman"/>
          <w:i/>
          <w:iCs/>
          <w:color w:val="000000"/>
          <w:spacing w:val="-1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-1"/>
          <w:sz w:val="28"/>
          <w:szCs w:val="28"/>
          <w:lang w:val="uk-UA" w:eastAsia="ru-RU"/>
        </w:rPr>
        <w:t xml:space="preserve">Збереження існуючого стану 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 та без відшкодуван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ня різниці в тарифах з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бюджету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pacing w:val="6"/>
          <w:sz w:val="28"/>
          <w:szCs w:val="28"/>
          <w:lang w:val="uk-UA" w:eastAsia="ru-RU"/>
        </w:rPr>
        <w:t xml:space="preserve"> Менської міської ОТГ</w:t>
      </w:r>
      <w:r>
        <w:rPr>
          <w:rFonts w:ascii="Times New Roman" w:hAnsi="Times New Roman" w:cs="Times New Roman" w:eastAsia="Times New Roman"/>
          <w:color w:val="000000"/>
          <w:spacing w:val="6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tLeast" w:line="293" w:after="10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Ця альтернатива є неприйнятною, оскільки порушує діюче законодавство і  потребує негайного вирішення. У разі збереження існуючого стану може порушитися режим та якість надання послуг.</w:t>
      </w:r>
      <w:r/>
    </w:p>
    <w:p>
      <w:pPr>
        <w:ind w:firstLine="540"/>
        <w:jc w:val="center"/>
        <w:spacing w:lineRule="atLeast" w:line="293" w:after="10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2) Своєчасне встановлення більш високих економічно обґрунтованих тарифів.</w:t>
      </w:r>
      <w:r/>
    </w:p>
    <w:p>
      <w:pPr>
        <w:ind w:firstLine="851"/>
        <w:jc w:val="both"/>
        <w:spacing w:lineRule="atLeast" w:line="293" w:after="10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Ця альтернатива є неприйнятною з двох причин:</w:t>
      </w:r>
      <w:r/>
    </w:p>
    <w:p>
      <w:pPr>
        <w:ind w:firstLine="851"/>
        <w:jc w:val="both"/>
        <w:spacing w:lineRule="atLeast" w:line="293" w:after="10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своєчасність процедури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перегляду тарифів неможлива через саму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процедуру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їх встановлення;</w:t>
      </w:r>
      <w:r/>
    </w:p>
    <w:p>
      <w:pPr>
        <w:ind w:firstLine="851"/>
        <w:jc w:val="both"/>
        <w:spacing w:lineRule="atLeast" w:line="293" w:after="10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часте підвищення тарифів для населення не бажане з соціально-політичних мотивів.</w:t>
      </w:r>
      <w:r/>
    </w:p>
    <w:p>
      <w:pPr>
        <w:ind w:firstLine="540"/>
        <w:jc w:val="center"/>
        <w:spacing w:lineRule="auto" w:line="240" w:after="10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3)Виділення коштів з державного бюджету для відшкодування різниці в тарифах.</w:t>
      </w:r>
      <w:r/>
    </w:p>
    <w:p>
      <w:pPr>
        <w:ind w:firstLine="851"/>
        <w:jc w:val="both"/>
        <w:spacing w:lineRule="auto" w:line="240" w:after="10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Для підприємств, що надають послуги з цен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тралізованого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водовідведення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відшкодування заборгованості з різниці в тарифах з державного бюджету  передбачається  постановою Кабінету Міністрів України  від 11 червня 2012 р.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N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 517 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 затвердження Порядку та умов надання  субвенції з державного бюджету місцевим бюджетам на погашення заборгованості з різниці в тарифах на теплову енергію, послуги з централізованого водопостачання та водовідвед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ення, що вироблялися, транспортувалися та постачалися населенню, яка виникла у зв’язку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нами державної влади чи місцевого самоврядування». Однак відшкодування вказаних коштів  з державного бюджету здійснюється за складною процедурою, з врахуванням значної кількості обмежень та лише  на покриття боргів за спожиту електроенергію і по податках. </w:t>
      </w:r>
      <w:r/>
    </w:p>
    <w:p>
      <w:pPr>
        <w:ind w:firstLine="851"/>
        <w:jc w:val="both"/>
        <w:spacing w:lineRule="atLeast" w:line="293" w:after="10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Ця альтернатива не вирішує проблему повністю і не за всіма житлово-комунальними послугами.</w:t>
      </w:r>
      <w:r/>
    </w:p>
    <w:p>
      <w:pPr>
        <w:ind w:firstLine="540"/>
        <w:jc w:val="center"/>
        <w:spacing w:lineRule="atLeast" w:line="293" w:after="10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i/>
          <w:sz w:val="28"/>
          <w:szCs w:val="28"/>
          <w:lang w:val="uk-UA" w:eastAsia="ru-RU"/>
        </w:rPr>
        <w:t xml:space="preserve">4)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Виділення з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бюджету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ОТГ</w:t>
      </w:r>
      <w:r>
        <w:rPr>
          <w:rFonts w:ascii="Times New Roman" w:hAnsi="Times New Roman" w:cs="Times New Roman" w:eastAsia="Times New Roman"/>
          <w:b/>
          <w:bCs/>
          <w:i/>
          <w:iCs/>
          <w:sz w:val="28"/>
          <w:szCs w:val="28"/>
          <w:lang w:val="uk-UA" w:eastAsia="ru-RU"/>
        </w:rPr>
        <w:t xml:space="preserve"> коштів для компенсації різниці в тарифах</w:t>
      </w:r>
      <w:r/>
    </w:p>
    <w:p>
      <w:pPr>
        <w:ind w:firstLine="851"/>
        <w:jc w:val="both"/>
        <w:spacing w:lineRule="atLeast" w:line="293" w:after="105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Ця альтернатива є прийнятною, тому що  запропоноване рішення є найбільш збалансованим.</w:t>
      </w:r>
      <w:r/>
    </w:p>
    <w:p>
      <w:pPr>
        <w:ind w:firstLine="851"/>
        <w:jc w:val="both"/>
        <w:spacing w:lineRule="auto" w:line="240" w:after="105"/>
        <w:shd w:val="clear" w:color="auto" w:fill="FFFFFF"/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З метою врахування інтересів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як споживачів послуг, так і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підприємств – надавачів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водовідведення по Менській міській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ОТГ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 вирішення проблеми, зазначеної в пункті 1 цього Аналізу, пропонується здійснити шляхом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прийняття рішення  Менської міської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 ради 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Про затвердження </w:t>
      </w:r>
      <w:r>
        <w:rPr>
          <w:rFonts w:ascii="Times New Roman" w:hAnsi="Times New Roman"/>
          <w:sz w:val="28"/>
          <w:szCs w:val="28"/>
          <w:lang w:val="uk-UA"/>
        </w:rPr>
        <w:t xml:space="preserve"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відшкодування різниці в тарифах на послуги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sz w:val="28"/>
          <w:szCs w:val="28"/>
          <w:lang w:val="uk-UA"/>
        </w:rPr>
        <w:t xml:space="preserve">централізованого </w:t>
      </w:r>
      <w:r>
        <w:rPr>
          <w:rFonts w:ascii="Times New Roman" w:hAnsi="Times New Roman"/>
          <w:sz w:val="28"/>
          <w:szCs w:val="28"/>
          <w:lang w:val="uk-UA"/>
        </w:rPr>
        <w:t xml:space="preserve">водовідведення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для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по Менській міській ОТГ </w:t>
      </w:r>
      <w:r>
        <w:rPr>
          <w:rFonts w:ascii="Times New Roman" w:hAnsi="Times New Roman"/>
          <w:sz w:val="28"/>
          <w:szCs w:val="28"/>
          <w:lang w:val="uk-UA"/>
        </w:rPr>
        <w:t xml:space="preserve">на 2021-2022 роки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»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встановлених   міською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ru-RU"/>
        </w:rPr>
        <w:t xml:space="preserve">   радою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та</w:t>
      </w:r>
      <w:r>
        <w:rPr>
          <w:rFonts w:ascii="Times New Roman" w:hAnsi="Times New Roman" w:cs="Times New Roman" w:eastAsia="Times New Roman"/>
          <w:spacing w:val="-1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розробленим на підставі:</w:t>
      </w:r>
      <w:r/>
    </w:p>
    <w:p>
      <w:pPr>
        <w:ind w:firstLine="540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-   законів України;</w:t>
      </w:r>
      <w:r/>
    </w:p>
    <w:p>
      <w:pPr>
        <w:ind w:firstLine="540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-   гласності (відкритості та загальнодоступності);</w:t>
      </w:r>
      <w:r/>
    </w:p>
    <w:p>
      <w:pPr>
        <w:ind w:firstLine="540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-   колегіальності;</w:t>
      </w:r>
      <w:r/>
    </w:p>
    <w:p>
      <w:pPr>
        <w:ind w:firstLine="540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-   урахування проб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лем життєдіяльності комунальних підприємств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;</w:t>
      </w:r>
      <w:r/>
    </w:p>
    <w:p>
      <w:pPr>
        <w:ind w:firstLine="540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-   економічної та юридичної обґрунтованості тощо.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r>
      <w:r/>
    </w:p>
    <w:tbl>
      <w:tblPr>
        <w:tblStyle w:val="388"/>
        <w:tblW w:w="9380" w:type="dxa"/>
        <w:tblLayout w:type="fixed"/>
        <w:tblLook w:val="04A0" w:firstRow="1" w:lastRow="0" w:firstColumn="1" w:lastColumn="0" w:noHBand="0" w:noVBand="1"/>
      </w:tblPr>
      <w:tblGrid>
        <w:gridCol w:w="490"/>
        <w:gridCol w:w="2014"/>
        <w:gridCol w:w="1148"/>
        <w:gridCol w:w="992"/>
        <w:gridCol w:w="29"/>
        <w:gridCol w:w="992"/>
        <w:gridCol w:w="1021"/>
        <w:gridCol w:w="2694"/>
      </w:tblGrid>
      <w:tr>
        <w:trPr/>
        <w:tc>
          <w:tcPr>
            <w:tcW w:w="490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№ з/п</w:t>
            </w:r>
            <w:r/>
          </w:p>
        </w:tc>
        <w:tc>
          <w:tcPr>
            <w:tcW w:w="2014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Заходи 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рограми</w:t>
            </w:r>
            <w:r/>
          </w:p>
        </w:tc>
        <w:tc>
          <w:tcPr>
            <w:tcW w:w="1148" w:type="dxa"/>
            <w:vMerge w:val="restart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Джерела фінансування</w:t>
            </w:r>
            <w:r/>
          </w:p>
        </w:tc>
        <w:tc>
          <w:tcPr>
            <w:gridSpan w:val="2"/>
            <w:tcW w:w="10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r>
            <w:r/>
          </w:p>
        </w:tc>
        <w:tc>
          <w:tcPr>
            <w:gridSpan w:val="3"/>
            <w:tcW w:w="470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Очікуваний  результат</w:t>
            </w:r>
            <w:r/>
          </w:p>
        </w:tc>
      </w:tr>
      <w:tr>
        <w:trPr/>
        <w:tc>
          <w:tcPr>
            <w:tcW w:w="490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2014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1148" w:type="dxa"/>
            <w:vMerge w:val="continue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2021 р.</w:t>
            </w:r>
            <w:r/>
          </w:p>
        </w:tc>
        <w:tc>
          <w:tcPr>
            <w:gridSpan w:val="2"/>
            <w:tcW w:w="10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2022 р.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  <w:t xml:space="preserve">всього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4"/>
                <w:szCs w:val="24"/>
                <w:lang w:val="uk-UA" w:eastAsia="ru-RU"/>
              </w:rPr>
            </w:r>
            <w:r/>
          </w:p>
        </w:tc>
      </w:tr>
      <w:tr>
        <w:trPr/>
        <w:tc>
          <w:tcPr>
            <w:tcW w:w="49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1</w:t>
            </w:r>
            <w:r/>
          </w:p>
        </w:tc>
        <w:tc>
          <w:tcPr>
            <w:tcW w:w="201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Відшко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дування  різниці  в  тарифах 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виробнику житлово – комунальних послуг у випадку невідповідності фактичної вартості послуг тарифам для н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аселення, встановленим виконавчим комітетом Менської міської ради</w:t>
            </w:r>
            <w:r/>
          </w:p>
        </w:tc>
        <w:tc>
          <w:tcPr>
            <w:tcW w:w="11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Б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юджет</w:t>
            </w:r>
            <w:r>
              <w:rPr>
                <w:rFonts w:ascii="Times New Roman" w:hAnsi="Times New Roman" w:cs="Times New Roman" w:eastAsia="Times New Roman"/>
                <w:color w:val="000000"/>
                <w:spacing w:val="-1"/>
                <w:sz w:val="26"/>
                <w:szCs w:val="26"/>
                <w:lang w:val="uk-UA" w:eastAsia="ru-RU"/>
              </w:rPr>
              <w:t xml:space="preserve"> Менської міської ОТГ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6"/>
                <w:szCs w:val="26"/>
                <w:lang w:val="uk-UA" w:eastAsia="ru-RU"/>
              </w:rPr>
              <w:t xml:space="preserve">500,0 тис. грн.</w:t>
            </w:r>
            <w:r/>
          </w:p>
        </w:tc>
        <w:tc>
          <w:tcPr>
            <w:gridSpan w:val="2"/>
            <w:tcW w:w="1021" w:type="dxa"/>
            <w:textDirection w:val="lrTb"/>
            <w:noWrap w:val="false"/>
          </w:tcPr>
          <w:p>
            <w:pPr>
              <w:jc w:val="both"/>
              <w:spacing w:after="105"/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500,0  тис. грн.</w:t>
            </w:r>
            <w:r/>
          </w:p>
        </w:tc>
        <w:tc>
          <w:tcPr>
            <w:tcW w:w="1021" w:type="dxa"/>
            <w:textDirection w:val="lrTb"/>
            <w:noWrap w:val="false"/>
          </w:tcPr>
          <w:p>
            <w:pPr>
              <w:jc w:val="both"/>
              <w:spacing w:after="105"/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1000,0</w:t>
            </w:r>
            <w:r/>
          </w:p>
          <w:p>
            <w:pPr>
              <w:jc w:val="both"/>
              <w:spacing w:after="105"/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тис. грн.</w:t>
            </w:r>
            <w:r/>
          </w:p>
        </w:tc>
        <w:tc>
          <w:tcPr>
            <w:tcW w:w="2694" w:type="dxa"/>
            <w:textDirection w:val="lrTb"/>
            <w:noWrap w:val="false"/>
          </w:tcPr>
          <w:p>
            <w:pPr>
              <w:jc w:val="both"/>
              <w:spacing w:after="105"/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 забезпечення безз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биткової діяльності підприємств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  в частині 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надання послуг з централізованого 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во</w:t>
            </w: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довідведення</w:t>
            </w:r>
            <w:r/>
          </w:p>
          <w:p>
            <w:pPr>
              <w:jc w:val="both"/>
              <w:spacing w:after="105"/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-   дотримання вимог діючого законодавства</w:t>
            </w:r>
            <w:r/>
          </w:p>
          <w:p>
            <w:pPr>
              <w:jc w:val="both"/>
              <w:spacing w:after="105"/>
              <w:rPr>
                <w:rFonts w:ascii="Times New Roman" w:hAnsi="Times New Roman" w:cs="Times New Roman" w:eastAsia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6"/>
                <w:szCs w:val="26"/>
                <w:lang w:val="uk-UA" w:eastAsia="ru-RU"/>
              </w:rPr>
              <w:t xml:space="preserve">- отримання стабільних та  якісних житлово – комунальних послуг</w:t>
            </w:r>
            <w:r/>
          </w:p>
        </w:tc>
      </w:tr>
    </w:tbl>
    <w:p>
      <w:pPr>
        <w:ind w:firstLine="540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  <w:t xml:space="preserve">1.5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  <w:t xml:space="preserve">  Програми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Фінансування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 Програми  здійснюється  порядком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: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Фактичне  відшкодування  різниці  в  тарифах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для 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підприємств – надавачів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послуг з централізованого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водові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дведення на території населених пунктів Менської міської об’єднаної територіальної громади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 проводиться  на  підставі висновків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щодо відповідності  розрахунків  різниці  в  тарифах на  житлово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 комунальні  послуги,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яка  виникла    у  зв’язку   із 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встановленням  тарифів на житлово-комунальні послуги  в розмірі   нижче економічно обґрунтованих витрат на їх виробництво, за  фактично  спожиті  обсяги   посл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уг з  централізованого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водо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відведення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Підприємства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- виробник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житлово-комунальних послуг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 щомісячно  здійснюють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 підготовку розрахунків на  відшкодування витрат в різниці  між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затвердженим  розміром  тарифу  та розміром   економічно – обґрунтованих витрат  на  їх  виробництво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 за  фактичними  обсягами  споживання та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 подають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 їх   на розгляд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.</w:t>
      </w:r>
      <w:r/>
    </w:p>
    <w:p>
      <w:pPr>
        <w:ind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. Менська міська рада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 перераховує  кошти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з 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бюджету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Менської міської ОТГ одержувачам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бюджетних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 коштів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підприємствам – надавачам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послуг з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централізованого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водовідведення на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території населених пунктів Менської міської ОТГ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, в   м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ежах  затверджених  в  місцевому 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бюджеті  призначень  на  цю  мету.</w:t>
      </w:r>
      <w:r/>
    </w:p>
    <w:p>
      <w:pPr>
        <w:pStyle w:val="389"/>
        <w:ind w:left="0"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Фінансування  заходів   Програми  здій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снюється  з урахуванням фінансових можливостей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місцевого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 бюджету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та затверджених кошторисних призначень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.</w:t>
      </w:r>
      <w:r/>
    </w:p>
    <w:p>
      <w:pPr>
        <w:pStyle w:val="389"/>
        <w:ind w:left="0" w:firstLine="851"/>
        <w:jc w:val="both"/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</w:r>
      <w:r/>
    </w:p>
    <w:p>
      <w:pPr>
        <w:ind w:left="708" w:right="10"/>
        <w:shd w:val="clear" w:color="auto" w:fill="FFFFFF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color w:val="000000"/>
          <w:spacing w:val="-1"/>
          <w:sz w:val="28"/>
          <w:szCs w:val="28"/>
          <w:lang w:val="uk-UA" w:eastAsia="ru-RU"/>
        </w:rPr>
        <w:t xml:space="preserve">1.6.</w:t>
      </w:r>
      <w:r>
        <w:rPr>
          <w:rFonts w:ascii="Times New Roman" w:hAnsi="Times New Roman" w:cs="Times New Roman" w:eastAsia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Система управління та контролю за ходом виконання Програми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Координацію і контроль за виконанням Програми здійснюють постійні комісії з питань планування, фінансів, бюджету та соціально-економічного розвитку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з питань житлово-комунального господарства та комунальної власності.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Підприємство- надавач послуг з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водовідведення на території м. 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один раз на квартал, до 15 числа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місяця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наступного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звітним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періодом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надає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звіт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хід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виконання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Програми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відповідно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фактичних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обсягів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фінансування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наростаючим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підсумком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).</w:t>
      </w:r>
      <w:r/>
    </w:p>
    <w:p>
      <w:pPr>
        <w:ind w:firstLine="720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Головний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розпорядник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коштів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бюджету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щоквартально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проводить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аналіз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результатів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фінансово-господарської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діяльності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отримувача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фінансової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підтримки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стану 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ефективності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використання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бюджетних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коштів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надання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фінансової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підтримки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та не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пізніше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 числа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місяця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наступного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звітним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кварталом,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надає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Фінансовому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управлінню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ради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пропозиції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коригування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суми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фінансової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підтримки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Courier New">
    <w:panose1 w:val="02070309020205020404"/>
  </w:font>
  <w:font w:name="Mangal">
    <w:panose1 w:val="02040502050405020303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710" w:hanging="390"/>
        <w:tabs>
          <w:tab w:val="left" w:pos="1710" w:leader="none"/>
        </w:tabs>
      </w:pPr>
      <w:rPr>
        <w:rFonts w:ascii="Times New Roman" w:hAnsi="Times New Roman" w:cs="Times New Roman" w:eastAsia="Times New Roman"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5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1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7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1"/>
    <w:next w:val="38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1"/>
    <w:next w:val="38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1"/>
    <w:next w:val="38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1"/>
    <w:next w:val="38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1"/>
    <w:next w:val="38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1"/>
    <w:next w:val="38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3"/>
    <w:link w:val="2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83"/>
    <w:link w:val="38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1"/>
    <w:next w:val="38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1"/>
    <w:next w:val="38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1"/>
    <w:next w:val="38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3"/>
    <w:link w:val="32"/>
    <w:uiPriority w:val="10"/>
    <w:rPr>
      <w:sz w:val="48"/>
      <w:szCs w:val="48"/>
    </w:rPr>
  </w:style>
  <w:style w:type="paragraph" w:styleId="34">
    <w:name w:val="Subtitle"/>
    <w:basedOn w:val="381"/>
    <w:next w:val="38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3"/>
    <w:link w:val="34"/>
    <w:uiPriority w:val="11"/>
    <w:rPr>
      <w:sz w:val="24"/>
      <w:szCs w:val="24"/>
    </w:rPr>
  </w:style>
  <w:style w:type="paragraph" w:styleId="36">
    <w:name w:val="Quote"/>
    <w:basedOn w:val="381"/>
    <w:next w:val="38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1"/>
    <w:next w:val="38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3"/>
    <w:link w:val="40"/>
    <w:uiPriority w:val="99"/>
  </w:style>
  <w:style w:type="paragraph" w:styleId="42">
    <w:name w:val="Footer"/>
    <w:basedOn w:val="381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3"/>
    <w:link w:val="42"/>
    <w:uiPriority w:val="99"/>
  </w:style>
  <w:style w:type="table" w:styleId="45">
    <w:name w:val="Table Grid Light"/>
    <w:basedOn w:val="3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1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3"/>
    <w:uiPriority w:val="99"/>
    <w:unhideWhenUsed/>
    <w:rPr>
      <w:vertAlign w:val="superscript"/>
    </w:rPr>
  </w:style>
  <w:style w:type="paragraph" w:styleId="174">
    <w:name w:val="toc 1"/>
    <w:basedOn w:val="381"/>
    <w:next w:val="381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1"/>
    <w:next w:val="381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1"/>
    <w:next w:val="381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1"/>
    <w:next w:val="381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1"/>
    <w:next w:val="381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1"/>
    <w:next w:val="381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1"/>
    <w:next w:val="381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1"/>
    <w:next w:val="381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1"/>
    <w:next w:val="381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1" w:default="1">
    <w:name w:val="Normal"/>
    <w:qFormat/>
  </w:style>
  <w:style w:type="paragraph" w:styleId="382">
    <w:name w:val="Heading 7"/>
    <w:basedOn w:val="381"/>
    <w:next w:val="381"/>
    <w:link w:val="390"/>
    <w:qFormat/>
    <w:semiHidden/>
    <w:unhideWhenUsed/>
    <w:rPr>
      <w:rFonts w:ascii="Calibri" w:hAnsi="Calibri" w:cs="Times New Roman" w:eastAsia="Times New Roman"/>
      <w:sz w:val="24"/>
      <w:szCs w:val="24"/>
    </w:rPr>
    <w:pPr>
      <w:spacing w:lineRule="auto" w:line="259" w:after="60" w:before="240"/>
      <w:outlineLvl w:val="6"/>
    </w:pPr>
  </w:style>
  <w:style w:type="character" w:styleId="383" w:default="1">
    <w:name w:val="Default Paragraph Font"/>
    <w:uiPriority w:val="1"/>
    <w:semiHidden/>
    <w:unhideWhenUsed/>
  </w:style>
  <w:style w:type="table" w:styleId="38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5" w:default="1">
    <w:name w:val="No List"/>
    <w:uiPriority w:val="99"/>
    <w:semiHidden/>
    <w:unhideWhenUsed/>
  </w:style>
  <w:style w:type="paragraph" w:styleId="386">
    <w:name w:val="Balloon Text"/>
    <w:basedOn w:val="381"/>
    <w:link w:val="38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87" w:customStyle="1">
    <w:name w:val="Текст выноски Знак"/>
    <w:basedOn w:val="383"/>
    <w:link w:val="386"/>
    <w:uiPriority w:val="99"/>
    <w:semiHidden/>
    <w:rPr>
      <w:rFonts w:ascii="Tahoma" w:hAnsi="Tahoma" w:cs="Tahoma"/>
      <w:sz w:val="16"/>
      <w:szCs w:val="16"/>
    </w:rPr>
  </w:style>
  <w:style w:type="table" w:styleId="388">
    <w:name w:val="Table Grid"/>
    <w:basedOn w:val="38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389">
    <w:name w:val="List Paragraph"/>
    <w:basedOn w:val="381"/>
    <w:qFormat/>
    <w:uiPriority w:val="34"/>
    <w:pPr>
      <w:contextualSpacing w:val="true"/>
      <w:ind w:left="720"/>
    </w:pPr>
  </w:style>
  <w:style w:type="character" w:styleId="390" w:customStyle="1">
    <w:name w:val="Заголовок 7 Знак"/>
    <w:basedOn w:val="383"/>
    <w:link w:val="382"/>
    <w:semiHidden/>
    <w:rPr>
      <w:rFonts w:ascii="Calibri" w:hAnsi="Calibri" w:cs="Times New Roman" w:eastAsia="Times New Roman"/>
      <w:sz w:val="24"/>
      <w:szCs w:val="24"/>
    </w:rPr>
  </w:style>
  <w:style w:type="character" w:styleId="391">
    <w:name w:val="Strong"/>
    <w:qFormat/>
    <w:uiPriority w:val="99"/>
    <w:rPr>
      <w:rFonts w:cs="Times New Roman"/>
      <w:b/>
    </w:rPr>
  </w:style>
  <w:style w:type="paragraph" w:styleId="392">
    <w:name w:val="Body Text"/>
    <w:basedOn w:val="381"/>
    <w:link w:val="393"/>
    <w:rPr>
      <w:rFonts w:ascii="Times New Roman" w:hAnsi="Times New Roman" w:cs="Times New Roman" w:eastAsia="Times New Roman"/>
      <w:sz w:val="28"/>
      <w:szCs w:val="24"/>
      <w:lang w:eastAsia="ar-SA"/>
    </w:rPr>
    <w:pPr>
      <w:ind w:firstLine="709"/>
      <w:jc w:val="both"/>
      <w:spacing w:lineRule="auto" w:line="240" w:after="120"/>
    </w:pPr>
  </w:style>
  <w:style w:type="character" w:styleId="393" w:customStyle="1">
    <w:name w:val="Основной текст Знак"/>
    <w:basedOn w:val="383"/>
    <w:link w:val="392"/>
    <w:rPr>
      <w:rFonts w:ascii="Times New Roman" w:hAnsi="Times New Roman" w:cs="Times New Roman" w:eastAsia="Times New Roman"/>
      <w:sz w:val="28"/>
      <w:szCs w:val="24"/>
      <w:lang w:eastAsia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СТАРОДУБ Людмила Олександрівна</cp:lastModifiedBy>
  <cp:revision>3</cp:revision>
  <dcterms:created xsi:type="dcterms:W3CDTF">2020-11-13T12:33:00Z</dcterms:created>
  <dcterms:modified xsi:type="dcterms:W3CDTF">2020-11-16T14:38:58Z</dcterms:modified>
</cp:coreProperties>
</file>