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___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696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96"/>
        <w:ind w:right="5035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посаді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старост</w:t>
      </w:r>
      <w:r>
        <w:rPr>
          <w:rFonts w:ascii="Times New Roman" w:hAnsi="Times New Roman" w:cs="Times New Roman" w:eastAsia="Times New Roman"/>
        </w:rPr>
      </w:r>
      <w:r/>
    </w:p>
    <w:p>
      <w:pPr>
        <w:pStyle w:val="696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96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Заслухавши пропозицію міського голови Примакова Г.А. про утворення на території Менської міської територіальної громади старостинських округів та затвердження на посадах старост новоутворених старостинських округів запропонованих міським головою осіб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забезпечення представництва інтересів жителів населених пунктів, що увійшли до складу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територіальної громади,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еруючись Законом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ст.10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Закону України «Про службу в органах місцевого самоврядування»,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ст. 54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696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9"/>
        </w:numPr>
        <w:ind w:left="142" w:right="0" w:hanging="142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Утворити на території Менської міської ради 20 старостинських округів, а саме: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Бірківський старостинський округ з центром в с.Бірківка, що складається з села Бірківка;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Блистівський старостинський округ з центром в с.Блистова, що складається з сіл Блистова, Дерепівка;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Величківський старостинський округ з центром в с.Величківка, що складається з сіл Величківка, Вільне;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Волосківський старостинський округ з центром в с.Волосківці, що складається з сіл Волосківці, Степанівка;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Городищенський старостинський округ з центром в с.Городище, що складається з села Городище;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Данилівський старостинський округ з центором в с.Данилівка, що складається з сіл Данилівка та Веселе</w:t>
      </w:r>
      <w:r>
        <w:rPr>
          <w:rFonts w:ascii="Times New Roman" w:hAnsi="Times New Roman" w:cs="Times New Roman" w:eastAsia="Times New Roman"/>
        </w:rPr>
        <w:t xml:space="preserve">;</w:t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Дягівський старостинський округ з центром в с.Дягова, що складається з села Дягова;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Киселівський старостинський округ з центром в с.Киселівка, що складається з сіл Киселівка, Комарівка, селища Прогрес;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Куковицький старостинський округ з центром в с.Куковичі, що складається з сіл Куковичі, Овчарівка, Загорівка, селища Куковицьке;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Лісківський старостинський округ з центром в с.Ліски, що складається з сіл Ліски, Майське, Максаки, Луки;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Макошинський старостинський округ з центром в смт.Макошине, що складається з селища міського типу Макошине, села Остапівка;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Осьмаківський старостинський округ з центром в с.Осьмаки, що складається з села Осьмаки;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Покровський старостинський округ з центром в с.Покровське, що складається з села Покровське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Садового старостинський округ з центром в селищі Садове, що складається з селища Садове, села Нові Броди;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Семенівський старостинський округ з центром в с.Семенівка, що складається з села Семенівка;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Синявський старостинський округ з центром в с.Синявка, що складається з села Синявка;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Слобідський старостинський округ з центром в с.Слобідка, що складається з села Слобідка;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Стольненський старостинський округ з центром в с.Стольне, що складається з сіл Стольне, Дмитрівка, Лазарівка, Чорногорці;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Ушнянський старостинський округ з центром в с.Ушня, що складається з сіл Ушня, Дібрівка;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7"/>
        </w:numPr>
        <w:ind w:left="0" w:right="0" w:firstLine="360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Феськівський старостинський округ з центром в с.Феськівка, що складається з села Феськівка.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/>
        <w:tabs>
          <w:tab w:val="left" w:pos="28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9"/>
        </w:numPr>
        <w:ind w:left="142" w:right="0" w:hanging="142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Призна</w:t>
      </w:r>
      <w:r>
        <w:rPr>
          <w:rFonts w:ascii="Times New Roman" w:hAnsi="Times New Roman" w:cs="Times New Roman" w:eastAsia="Times New Roman"/>
          <w:sz w:val="28"/>
        </w:rPr>
        <w:t xml:space="preserve">чити </w:t>
      </w:r>
      <w:r>
        <w:rPr>
          <w:rFonts w:ascii="Times New Roman" w:hAnsi="Times New Roman" w:cs="Times New Roman" w:eastAsia="Times New Roman"/>
          <w:sz w:val="28"/>
        </w:rPr>
        <w:t xml:space="preserve">з 09 грудня 2020 року на посаді старост старостинських округів Менської міської ради наступних осіб: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Бірківського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Блистівського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Величківського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Волосківського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Городищенського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Данилівського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Садового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Дягівського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Киселівського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Куковицького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Лісківського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Макошинського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</w:t>
      </w:r>
      <w:r>
        <w:rPr>
          <w:rFonts w:ascii="Times New Roman" w:hAnsi="Times New Roman" w:cs="Times New Roman" w:eastAsia="Times New Roman"/>
          <w:sz w:val="28"/>
        </w:rPr>
        <w:t xml:space="preserve">Осьмаківського 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Покровського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Садового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</w:t>
      </w:r>
      <w:r>
        <w:rPr>
          <w:rFonts w:ascii="Times New Roman" w:hAnsi="Times New Roman" w:cs="Times New Roman" w:eastAsia="Times New Roman"/>
          <w:sz w:val="28"/>
        </w:rPr>
        <w:t xml:space="preserve">Семенівського 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Синявського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</w:t>
      </w:r>
      <w:r>
        <w:rPr>
          <w:rFonts w:ascii="Times New Roman" w:hAnsi="Times New Roman" w:cs="Times New Roman" w:eastAsia="Times New Roman"/>
          <w:sz w:val="28"/>
        </w:rPr>
        <w:t xml:space="preserve">Стольненського 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Ушнянського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</w:rPr>
      </w:r>
      <w:r/>
    </w:p>
    <w:p>
      <w:pPr>
        <w:pStyle w:val="538"/>
        <w:numPr>
          <w:ilvl w:val="0"/>
          <w:numId w:val="62"/>
        </w:numPr>
        <w:ind w:left="0" w:right="0" w:firstLine="283"/>
        <w:jc w:val="both"/>
        <w:spacing w:lineRule="auto" w:line="240" w:after="0" w:afterAutospacing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_________________ - на посаді старости Феськівського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720" w:firstLine="0"/>
        <w:jc w:val="both"/>
        <w:spacing w:lineRule="auto" w:line="240" w:after="0" w:afterAutospacing="0" w:before="0"/>
        <w:tabs>
          <w:tab w:val="left" w:pos="28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9"/>
        </w:numPr>
        <w:ind w:left="142" w:right="0" w:hanging="142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z w:val="28"/>
        </w:rPr>
        <w:t xml:space="preserve">атвердити Положення про старосту Менської міської ради згідно додат</w:t>
      </w:r>
      <w:r>
        <w:rPr>
          <w:rFonts w:ascii="Times New Roman" w:hAnsi="Times New Roman" w:cs="Times New Roman" w:eastAsia="Times New Roman"/>
          <w:sz w:val="28"/>
        </w:rPr>
        <w:t xml:space="preserve">ку 1 до даного </w:t>
      </w:r>
      <w:r>
        <w:rPr>
          <w:rFonts w:ascii="Times New Roman" w:hAnsi="Times New Roman" w:cs="Times New Roman" w:eastAsia="Times New Roman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  <w:t xml:space="preserve">-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9"/>
        </w:numPr>
        <w:ind w:left="142" w:right="0" w:hanging="142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Конт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ол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ь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за виконанням рішення покласти на заступників міського голови з питань діяльності виконкому.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right="20" w:firstLine="0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6379" w:right="0" w:firstLine="0"/>
        <w:jc w:val="both"/>
        <w:spacing w:lineRule="auto" w:line="240" w:after="0" w:afterAutospacing="0" w:before="0"/>
        <w:tabs>
          <w:tab w:val="left" w:pos="6521" w:leader="none"/>
          <w:tab w:val="left" w:pos="11804" w:leader="none"/>
        </w:tabs>
        <w:rPr>
          <w:rFonts w:ascii="Times New Roman" w:hAnsi="Times New Roman" w:cs="Times New Roman" w:eastAsia="Times New Roman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до рішення 1 сесії міської ради 8 скликання від 09</w:t>
      </w:r>
      <w:r>
        <w:rPr>
          <w:rFonts w:ascii="Times New Roman" w:hAnsi="Times New Roman" w:cs="Times New Roman" w:eastAsia="Times New Roman"/>
          <w:sz w:val="20"/>
        </w:rPr>
        <w:t xml:space="preserve">.12.2020р. «</w:t>
      </w:r>
      <w:r>
        <w:rPr>
          <w:rFonts w:ascii="Times New Roman" w:hAnsi="Times New Roman" w:cs="Times New Roman" w:eastAsia="Times New Roman"/>
          <w:sz w:val="20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0"/>
          <w:szCs w:val="28"/>
          <w:lang w:val="uk-UA"/>
        </w:rPr>
        <w:t xml:space="preserve">на посаді </w:t>
      </w:r>
      <w:r>
        <w:rPr>
          <w:rFonts w:ascii="Times New Roman" w:hAnsi="Times New Roman" w:cs="Times New Roman" w:eastAsia="Times New Roman"/>
          <w:sz w:val="20"/>
          <w:szCs w:val="28"/>
          <w:lang w:val="uk-UA"/>
        </w:rPr>
        <w:t xml:space="preserve">старост</w:t>
      </w:r>
      <w:r>
        <w:rPr>
          <w:rFonts w:ascii="Times New Roman" w:hAnsi="Times New Roman" w:cs="Times New Roman" w:eastAsia="Times New Roman"/>
          <w:sz w:val="20"/>
        </w:rPr>
        <w:t xml:space="preserve">»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709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 пр</w:t>
      </w:r>
      <w:r>
        <w:rPr>
          <w:rFonts w:ascii="Times New Roman" w:hAnsi="Times New Roman" w:cs="Times New Roman" w:eastAsia="Times New Roman"/>
          <w:b/>
          <w:sz w:val="28"/>
        </w:rPr>
        <w:t xml:space="preserve">о старосту </w:t>
      </w:r>
      <w:r>
        <w:rPr>
          <w:rFonts w:ascii="Times New Roman" w:hAnsi="Times New Roman" w:cs="Times New Roman" w:eastAsia="Times New Roman"/>
          <w:b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 Загальні 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про старосту (далі – Положення) розроблено відповідно до законів України «Про місцеве самоврядування в Україні» і визначає права і обов’язки старости, поря</w:t>
      </w:r>
      <w:r>
        <w:rPr>
          <w:rFonts w:ascii="Times New Roman" w:hAnsi="Times New Roman" w:cs="Times New Roman" w:eastAsia="Times New Roman"/>
          <w:sz w:val="28"/>
        </w:rPr>
        <w:t xml:space="preserve">док його обрання та припинення повноваж</w:t>
      </w:r>
      <w:r>
        <w:rPr>
          <w:rFonts w:ascii="Times New Roman" w:hAnsi="Times New Roman" w:cs="Times New Roman" w:eastAsia="Times New Roman"/>
          <w:sz w:val="28"/>
        </w:rPr>
        <w:t xml:space="preserve">ень, порядок звітування, відповідальність та інші питання, пов’язані з діяльністю старости на території </w:t>
      </w:r>
      <w:r>
        <w:rPr>
          <w:rFonts w:ascii="Times New Roman" w:hAnsi="Times New Roman" w:cs="Times New Roman" w:eastAsia="Times New Roman"/>
          <w:sz w:val="28"/>
        </w:rPr>
        <w:t xml:space="preserve">старостинського округу, як частини території Менської міської територіальної громади, утвореної відповідно діючаого законодавства України</w:t>
      </w:r>
      <w:r>
        <w:rPr>
          <w:rFonts w:ascii="Times New Roman" w:hAnsi="Times New Roman" w:cs="Times New Roman" w:eastAsia="Times New Roman"/>
          <w:sz w:val="28"/>
        </w:rPr>
        <w:t xml:space="preserve">, на якій розташовані один аб</w:t>
      </w:r>
      <w:r>
        <w:rPr>
          <w:rFonts w:ascii="Times New Roman" w:hAnsi="Times New Roman" w:cs="Times New Roman" w:eastAsia="Times New Roman"/>
          <w:sz w:val="28"/>
        </w:rPr>
        <w:t xml:space="preserve">о декілька населених пунктів (сіл, селищ), крім адміністративного центру територіальної громади, визначена Менською міською радою з метою забезпечення </w:t>
      </w:r>
      <w:r>
        <w:rPr>
          <w:rFonts w:ascii="Times New Roman" w:hAnsi="Times New Roman" w:cs="Times New Roman" w:eastAsia="Times New Roman"/>
          <w:sz w:val="28"/>
        </w:rPr>
        <w:t xml:space="preserve">пр</w:t>
      </w:r>
      <w:r>
        <w:rPr>
          <w:rFonts w:ascii="Times New Roman" w:hAnsi="Times New Roman" w:cs="Times New Roman" w:eastAsia="Times New Roman"/>
          <w:sz w:val="28"/>
        </w:rPr>
        <w:t xml:space="preserve">едставництва інтересів жителів такого населеного пункту (населених пунктів) старостою.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та зміни до Положення затверджується рішенням Менської міської ради (далі – Рада).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Старостинські округи утворюються виключно на пленарних засіданнях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є виборною посадовою особою місцевого самоврядування, який представляє інтереси села (сіл), що входять до відповідного старостинського округу і набуває свого статусу у відповідності до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набуває статусу посадової особи місцевого самоврядування відповідно до Закону України «Про службу в органах місцевого самоврядування».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Правовий статус старости визначається Конституцією України, законами України "Про місцеве самоврядування в Україні", іншими законами України та цим Положенням.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діє лише на підставі, в межах повноважень та у спосіб, що передбачені Конституцією і законами України, у своїй діяльності керується Конституцією і законами України, актами Президента України, Кабінету Міністрів України, іншими нормативно-правовими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актами, цим Положенням, іншими рішеннями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Перелік населених пунктів Менської міської рад02и, в яких запроваджується посада старости, затверджується Менською міською радою. В населеному пункті, який є адміністративним центром Менською міської ради, посада старости не запроваджується.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не може мати інший представницький мандат, суміщати свою службову діяльність 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суддівської практики із спорту) або підприємницькою діяльністю.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організації роботи старости визначається Законом України «Про місцеве самоврядування в Україні», «Про добровільне об’єднання територіальних громад», «Про службу в органах місцевого самоврядування» та іншими законами, а також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за посадою входить до складу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5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свої повноваження на постійній основі.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5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дотримується режиму роботи, правил внутрішнього розпорядку, діловодства встановлених Менською міською радою.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64"/>
        </w:numPr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Інформаційне, матеріально-технічне та фінансове забезпечення роботи старости здійснюється Менською міською радою.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Обрання старости та строк його повноважень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</w:t>
        <w:tab/>
        <w:t xml:space="preserve">Староста обирається за мажоритарною системою відносної більшості в єдиному одномандатному виборчому окрузі, до якого входить населені пункти відповідного старостинського округу в порядку, визначеному Законом України «Про місцеві вибори» на строк повно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важень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</w:t>
        <w:tab/>
        <w:t xml:space="preserve">Право голосу на виборах старости мають громадяни України, які мають це право відповідно до статті 70 Конституції України, належать до Менської міської об’єднаної територіальної громади та зареєстрували у встановленому законом порядку своє місце прожив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ання на території населених пунктів відповідного старостинського округу, де за рішенням Менської міської ради проводяться такі вибори.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</w:t>
        <w:tab/>
        <w:t xml:space="preserve">Старостою може бути обраним будь-який громадянин України, який має право голосу відповідно до статті 70 Конституції України, незалежно від того, де він зареєстрував місце свого проживання.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</w:t>
        <w:tab/>
        <w:t xml:space="preserve">Повноваження старости починаються з моменту оголошення відповідною територіальною комісією на пленарному засіданні ради рішення про його обрання та принесенням ним присяги такого змісту: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"Я, </w:t>
      </w:r>
      <w:r>
        <w:rPr>
          <w:rFonts w:ascii="Times New Roman" w:hAnsi="Times New Roman" w:cs="Times New Roman" w:eastAsia="Times New Roman"/>
          <w:i/>
          <w:color w:val="000000"/>
          <w:sz w:val="28"/>
          <w:u w:val="single"/>
        </w:rPr>
        <w:t xml:space="preserve">ПІБ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 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  права, свободи і законні інтереси гром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адян, сумлінно виконувати свої посадові обов'язки".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старости закінчуються з моменту вступу на цю посаду іншої особи, обраної на наступних місцевих виборах, крім випадків дострокового припинення його повноважень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</w:t>
        <w:tab/>
        <w:t xml:space="preserve">Повноваження старости вважаються достроково припиненими на підставі ст. 79-1 Закону України «Про місцеве самоврядування в Україні» у разі: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його звернення з особистою заявою до сільської, селищної, міської ради про складення ним повноважень </w:t>
      </w:r>
      <w:hyperlink r:id="rId9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припинення громадянства України або виїзду на постійне проживання за межі України;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набуття громадянства іншої держави;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набрання законної сили обвинувальним вироком суду щодо нього;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або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набрання законної сили рішенням суду про визнання його недієздатним, безвісно відсутнім чи оголошення померлим;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його смерті;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відкликання з посади за народною ініціативою.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</w:t>
        <w:tab/>
        <w:t xml:space="preserve">Повноваження </w:t>
      </w:r>
      <w:hyperlink r:id="rId10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 можуть бути достроково припинені за рішенням Менської міської ради, якщо він порушує </w:t>
      </w:r>
      <w:hyperlink r:id="rId11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Конституцію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або закони України, права і свободи громадян, не забезпечує здійснення наданих йому повноважень. Рішення про дострокове припинення повноважень </w:t>
      </w:r>
      <w:hyperlink r:id="rId12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 рада приймає таємним або відкритим голосуванням більшістю голосів від загального складу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</w:t>
        <w:tab/>
      </w:r>
      <w:hyperlink r:id="rId13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оста може бути відкликаний з посади за народною ініціативою в порядку, визначеному </w:t>
      </w:r>
      <w:hyperlink r:id="rId14" w:history="1">
        <w:r>
          <w:rPr>
            <w:rStyle w:val="678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Законом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"Про статус депутатів місцевих рад", з особливостями, передбаченими частинами четвертою і п’ятою цієї статті, не раніше як через рік з моменту набуття ним повноважень.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Повноваження старости та організація його роботи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</w:t>
        <w:tab/>
        <w:t xml:space="preserve">На старосту покладаються такі завдання: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представництво інтересів жителів населених пунктів відповідного старостинського округу у виконавчих органах 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сприяння жителям населених пунктів відповідного старостинського округу у підготовці документів, що подаються до Менської міської ради та її виконавчих органів;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участь у підготовці проекту бюджету територіальної громади в частині фінансування програм, що реалізуються на території населених пунктів відповідного старостинського округу, а також проектів рішень, що стосуються майна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внесення пропозиції до виконавчого комітету  Менської міської ради з питань діяльності на території населених пунктів відповідного старостинського округу виконавчих органів Менської міської ради, підприємств, установ, організацій комунальної форми власн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 та їхніх посадових осіб.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Староста також: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забезпечує виконання рішень органів місцевого самоврядування територіальної громади на території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здійснює інші обов’язки, визначені чинним законодавством та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Обов’язки старости: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додержуватися Конституції та законів України, актів Президента України, Кабінету Міністрів України, актів Менської міської ради, цього Положення та інших нормативно-правових актів, що визначають порядок його діяльності та взаємовідносини з Менською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кою радою, органами місцевого самоврядування та їхніми посадовими особами, громадою та її членами.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брати участь у засіданнях виконавчого комітету Менської міської ради. Виконувати доручення ради, її виконавчого комітету, міського голови, інформувати їх про виконання доручень;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брати участь в організації та проведенні зборів членів відповідної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громади та здійснювати моніторинг 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сприяти виконанню на території відповідних населених пунктів відповідного старостинського округу Менської міської ради, програм соціально-економічного та культурного розвитку, затверджених рішенням Менської міської ради, інших актів ради та її виконавчо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комітету. Вносити до виконавчого комітету, інших виконавчих органів Менської міської ради пропозиції з цих питань.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вести прийом членів внутрішньої громади. Здійснювати моніторинг стану дотримання їхніх прав і законних інтересів у межах наданих повноважень;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Менської міської ради, соціального, побутового та транспортного обслуговування його жителів;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приймати від членів громади заяви, адресовані органам місцевого самоврядування Менської міської ради та їхнім посадовим особам, передавати їх за призначенням;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здійснювати моніторинг благоустрою відповідних населених пунктів старостинського округу, вживати заходів до його підтримання в належному стані;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здійснювати моніторинг за дотриманням на території відповідних населених пунктів старостинського округу Менської міської ради громадського порядку, станом виконанням встановлених рішеннями Менської міської ради Правил благоустрою;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контролювати дотримання правил використання об’єктів комунальної власності територіальної громади, що розташовані на території населених пунктів відповідного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сприяти органу (органам) самоорганізації населення відповідних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надавати практичну допомогу органам самоорганізації населення у виконанні ними своїх завдань та повноважень;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не допускати на території відповідних населених пунктів старостинського округу Менської міської ради дій чи бездіяльності, які можуть зашкодити інтересам територіальної громади та держави;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14) своєчасно надавати інформацію до Менської міської ради щодо об’єктів, які розташовані на території відповідного населеного пункту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15) дотримуватися правил службової етики встановлених законодавчими актами України, актами  Менської міської ради та її органів;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16) виконувати поточні доручення Менської міської ради та її виконавчого комітету, міського голови, звітувати про їх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17) здійснювати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самоврядування, в т.ч.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вчиняти нотаріальні дії, передбачені частиною першою ст. 37 Закону України «Про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нотаріат».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18) видавати та завіряти підписом та печаткою довідки на території населених пунктів відповідного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19)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здійснювати реєстрацію/зняття з реєстрації місця проживання/перебування осіб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 території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20)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посвідчувати довіреності осіб, які проживають на тер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иторії населених пунктів, які в</w:t>
      </w:r>
      <w:r>
        <w:rPr>
          <w:rFonts w:ascii="Times New Roman" w:hAnsi="Times New Roman" w:cs="Times New Roman" w:eastAsia="Times New Roman"/>
          <w:sz w:val="28"/>
        </w:rPr>
        <w:t xml:space="preserve">х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одять до складу підпорядкованого старостинського округу, де немає нотаріусів,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истування та розпорядження транспортними засобами, як посадових осіб органу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21) зд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ійснювати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отримання заяв та документів необхідних для надання адміністративної послуги;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22) здійснювати видачу результатів надання адміністративних послуг;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23) скріплювати номерною печаткою, документи, що підписуються старостою, видаються при наданні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засвідчувати копії інших документів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випадках передбачених законодавством.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Староста має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офіційно представляти населення, яке проживає в населених пунктах старостинського округу, його членів в органах місцевого самоврядування Менської міської ради, брати участь з правом дорадчого голосу у пленарних засіданнях Менської міської ради, засіданн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ях її постійних та тимчасових комісій, на яких розглядаються питання, що зачіпають інтереси жителів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одержувати від органів місцевого самоврядування Менської міської ради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інформацію, документи та матеріали, що стосуються соціально-економічного та культурного розвитку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погоджувати проекти рішень Менської міської ради та її виконавчого комітету щодо майна Менської міської ради, розташованого на території населених пунктів старостинського округу Менської міської 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вносити пропозиції до порядку денного засідань виконавчого комітету Менської міської ради з питань, які стосуються інтересів населених пунктів старостинського округу. Оголошувати на засіданнях виконавчого комітету тексти заяв та звернень відповідної вну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трішньої громади, її членів з питань, що стосуються інтересів внутрішньої громади чи інтересів Менської міської ради загалом;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порушувати у виконавчому комітеті Менської міської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відповідних населених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унктів старостинського округу Менської міської ради незалежно від форми власності;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ати питання про притягнення до відповідальності осіб, з вини яких сталося порушення;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пропонувати питання для розгляду органом (органами) самоорганізації населення відповідних населених пунктів старостинського округу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звертатися до державних та муніципальних правоохоронних органів у разі виявлення порушень громадського порядку на території відповідних населених пунктів старостинського округу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Організація роботи старости та забезпечення його діяльності та інші питання організації діяльності старости визначаються Менською міською радою та її виконавчим комітетом.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 У разі неможливості старостою тимчасово здійснювати завдання та обов’язки, передбачені Положенням про старосту та окремими рішеннями міської ради, на території населених пунктів окремого старостинського округу, а також представляти інтереси жителів ц</w:t>
      </w:r>
      <w:r>
        <w:rPr>
          <w:rFonts w:ascii="Times New Roman" w:hAnsi="Times New Roman" w:cs="Times New Roman" w:eastAsia="Times New Roman"/>
          <w:sz w:val="28"/>
        </w:rPr>
        <w:t xml:space="preserve">их населених пунктів, його завдання та обов’язки, в тому числі вчинення нотаріальних дій та </w:t>
      </w:r>
      <w:r>
        <w:rPr>
          <w:rFonts w:ascii="Times New Roman" w:hAnsi="Times New Roman" w:cs="Times New Roman" w:eastAsia="Times New Roman"/>
          <w:sz w:val="28"/>
        </w:rPr>
        <w:t xml:space="preserve">здійснення реєстрації/зняття з реєстрації місця проживання/перебування осіб, </w:t>
      </w:r>
      <w:r>
        <w:rPr>
          <w:rFonts w:ascii="Times New Roman" w:hAnsi="Times New Roman" w:cs="Times New Roman" w:eastAsia="Times New Roman"/>
          <w:sz w:val="28"/>
        </w:rPr>
        <w:t xml:space="preserve">а також представлення інтересів жителів цих територій, здійснює інша особа, яка перебуває на посаді старости, що виконує завдання та обов’язки і представлення інтересів жителів населених пунктів іншого старостинського округу, відповідно до окремого розпоря</w:t>
      </w:r>
      <w:r>
        <w:rPr>
          <w:rFonts w:ascii="Times New Roman" w:hAnsi="Times New Roman" w:cs="Times New Roman" w:eastAsia="Times New Roman"/>
          <w:sz w:val="28"/>
        </w:rPr>
        <w:t xml:space="preserve">дження міського голови.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Підзвітність, підконтрольність та відповідальність старости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здійсненні наданих повноважень староста є підзвітним, підконтрольним і відповідальним перед жителями відповідних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населених пунктів старостинського округу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відповідальним - перед Менською міською радою.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Староста не рідше одного разу на рік звітує про свою роботу перед жителями відповідних населених пунктів старостинського округу на відкритій зустрічі з громадянами. На вимогу не менше половини депутатів Менської міської ради староста інформує раду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свою роботу.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Відповідальність старости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При здійсненні наданих повноважень староста є відповідальним перед Менською міською  радою та жителями відповідних населених пунктів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 Староста може бути притягнений до дисциплінарної, матеріальної, цивільної, адміністративної та кримінальної відповідальності, визначеної законом.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сіб, що виникають в результаті рішень, дій чи бездіяльності старости, вирішуються в судовому порядку.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20">
    <w:name w:val="Heading 1"/>
    <w:basedOn w:val="692"/>
    <w:next w:val="692"/>
    <w:link w:val="5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1">
    <w:name w:val="Heading 1 Char"/>
    <w:basedOn w:val="693"/>
    <w:link w:val="520"/>
    <w:uiPriority w:val="9"/>
    <w:rPr>
      <w:rFonts w:ascii="Arial" w:hAnsi="Arial" w:cs="Arial" w:eastAsia="Arial"/>
      <w:sz w:val="40"/>
      <w:szCs w:val="40"/>
    </w:rPr>
  </w:style>
  <w:style w:type="paragraph" w:styleId="522">
    <w:name w:val="Heading 2"/>
    <w:basedOn w:val="692"/>
    <w:next w:val="69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3">
    <w:name w:val="Heading 2 Char"/>
    <w:basedOn w:val="693"/>
    <w:link w:val="522"/>
    <w:uiPriority w:val="9"/>
    <w:rPr>
      <w:rFonts w:ascii="Arial" w:hAnsi="Arial" w:cs="Arial" w:eastAsia="Arial"/>
      <w:sz w:val="34"/>
    </w:rPr>
  </w:style>
  <w:style w:type="paragraph" w:styleId="524">
    <w:name w:val="Heading 3"/>
    <w:basedOn w:val="692"/>
    <w:next w:val="692"/>
    <w:link w:val="5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5">
    <w:name w:val="Heading 3 Char"/>
    <w:basedOn w:val="693"/>
    <w:link w:val="524"/>
    <w:uiPriority w:val="9"/>
    <w:rPr>
      <w:rFonts w:ascii="Arial" w:hAnsi="Arial" w:cs="Arial" w:eastAsia="Arial"/>
      <w:sz w:val="30"/>
      <w:szCs w:val="30"/>
    </w:rPr>
  </w:style>
  <w:style w:type="paragraph" w:styleId="526">
    <w:name w:val="Heading 4"/>
    <w:basedOn w:val="692"/>
    <w:next w:val="692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7">
    <w:name w:val="Heading 4 Char"/>
    <w:basedOn w:val="693"/>
    <w:link w:val="526"/>
    <w:uiPriority w:val="9"/>
    <w:rPr>
      <w:rFonts w:ascii="Arial" w:hAnsi="Arial" w:cs="Arial" w:eastAsia="Arial"/>
      <w:b/>
      <w:bCs/>
      <w:sz w:val="26"/>
      <w:szCs w:val="26"/>
    </w:rPr>
  </w:style>
  <w:style w:type="paragraph" w:styleId="528">
    <w:name w:val="Heading 5"/>
    <w:basedOn w:val="692"/>
    <w:next w:val="692"/>
    <w:link w:val="5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9">
    <w:name w:val="Heading 5 Char"/>
    <w:basedOn w:val="693"/>
    <w:link w:val="528"/>
    <w:uiPriority w:val="9"/>
    <w:rPr>
      <w:rFonts w:ascii="Arial" w:hAnsi="Arial" w:cs="Arial" w:eastAsia="Arial"/>
      <w:b/>
      <w:bCs/>
      <w:sz w:val="24"/>
      <w:szCs w:val="24"/>
    </w:rPr>
  </w:style>
  <w:style w:type="paragraph" w:styleId="530">
    <w:name w:val="Heading 6"/>
    <w:basedOn w:val="692"/>
    <w:next w:val="692"/>
    <w:link w:val="5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31">
    <w:name w:val="Heading 6 Char"/>
    <w:basedOn w:val="693"/>
    <w:link w:val="530"/>
    <w:uiPriority w:val="9"/>
    <w:rPr>
      <w:rFonts w:ascii="Arial" w:hAnsi="Arial" w:cs="Arial" w:eastAsia="Arial"/>
      <w:b/>
      <w:bCs/>
      <w:sz w:val="22"/>
      <w:szCs w:val="22"/>
    </w:rPr>
  </w:style>
  <w:style w:type="paragraph" w:styleId="532">
    <w:name w:val="Heading 7"/>
    <w:basedOn w:val="692"/>
    <w:next w:val="692"/>
    <w:link w:val="5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33">
    <w:name w:val="Heading 7 Char"/>
    <w:basedOn w:val="693"/>
    <w:link w:val="5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4">
    <w:name w:val="Heading 8"/>
    <w:basedOn w:val="692"/>
    <w:next w:val="692"/>
    <w:link w:val="5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35">
    <w:name w:val="Heading 8 Char"/>
    <w:basedOn w:val="693"/>
    <w:link w:val="534"/>
    <w:uiPriority w:val="9"/>
    <w:rPr>
      <w:rFonts w:ascii="Arial" w:hAnsi="Arial" w:cs="Arial" w:eastAsia="Arial"/>
      <w:i/>
      <w:iCs/>
      <w:sz w:val="22"/>
      <w:szCs w:val="22"/>
    </w:rPr>
  </w:style>
  <w:style w:type="paragraph" w:styleId="536">
    <w:name w:val="Heading 9"/>
    <w:basedOn w:val="692"/>
    <w:next w:val="692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7">
    <w:name w:val="Heading 9 Char"/>
    <w:basedOn w:val="693"/>
    <w:link w:val="536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692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 w:before="0"/>
    </w:pPr>
  </w:style>
  <w:style w:type="paragraph" w:styleId="540">
    <w:name w:val="Title"/>
    <w:basedOn w:val="692"/>
    <w:next w:val="692"/>
    <w:link w:val="5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1">
    <w:name w:val="Title Char"/>
    <w:basedOn w:val="693"/>
    <w:link w:val="540"/>
    <w:uiPriority w:val="10"/>
    <w:rPr>
      <w:sz w:val="48"/>
      <w:szCs w:val="48"/>
    </w:rPr>
  </w:style>
  <w:style w:type="paragraph" w:styleId="542">
    <w:name w:val="Subtitle"/>
    <w:basedOn w:val="692"/>
    <w:next w:val="692"/>
    <w:link w:val="543"/>
    <w:qFormat/>
    <w:uiPriority w:val="11"/>
    <w:rPr>
      <w:sz w:val="24"/>
      <w:szCs w:val="24"/>
    </w:rPr>
    <w:pPr>
      <w:spacing w:after="200" w:before="200"/>
    </w:pPr>
  </w:style>
  <w:style w:type="character" w:styleId="543">
    <w:name w:val="Subtitle Char"/>
    <w:basedOn w:val="693"/>
    <w:link w:val="542"/>
    <w:uiPriority w:val="11"/>
    <w:rPr>
      <w:sz w:val="24"/>
      <w:szCs w:val="24"/>
    </w:rPr>
  </w:style>
  <w:style w:type="paragraph" w:styleId="544">
    <w:name w:val="Quote"/>
    <w:basedOn w:val="692"/>
    <w:next w:val="692"/>
    <w:link w:val="545"/>
    <w:qFormat/>
    <w:uiPriority w:val="29"/>
    <w:rPr>
      <w:i/>
    </w:rPr>
    <w:pPr>
      <w:ind w:left="720" w:right="720"/>
    </w:pPr>
  </w:style>
  <w:style w:type="character" w:styleId="545">
    <w:name w:val="Quote Char"/>
    <w:link w:val="544"/>
    <w:uiPriority w:val="29"/>
    <w:rPr>
      <w:i/>
    </w:rPr>
  </w:style>
  <w:style w:type="paragraph" w:styleId="546">
    <w:name w:val="Intense Quote"/>
    <w:basedOn w:val="692"/>
    <w:next w:val="692"/>
    <w:link w:val="54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>
    <w:name w:val="Intense Quote Char"/>
    <w:link w:val="546"/>
    <w:uiPriority w:val="30"/>
    <w:rPr>
      <w:i/>
    </w:rPr>
  </w:style>
  <w:style w:type="paragraph" w:styleId="548">
    <w:name w:val="Header"/>
    <w:basedOn w:val="692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>
    <w:name w:val="Header Char"/>
    <w:basedOn w:val="693"/>
    <w:link w:val="548"/>
    <w:uiPriority w:val="99"/>
  </w:style>
  <w:style w:type="paragraph" w:styleId="550">
    <w:name w:val="Footer"/>
    <w:basedOn w:val="692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>
    <w:name w:val="Footer Char"/>
    <w:basedOn w:val="693"/>
    <w:link w:val="550"/>
    <w:uiPriority w:val="99"/>
  </w:style>
  <w:style w:type="table" w:styleId="552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5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7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9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2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84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86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7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88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89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90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9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92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94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95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96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97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8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99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0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16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17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8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19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0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2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7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8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9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0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2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3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44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5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46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47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8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49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0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52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53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54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55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56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57">
    <w:name w:val="Lined - Accent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8">
    <w:name w:val="Lined - Accent 1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9">
    <w:name w:val="Lined - Accent 2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60">
    <w:name w:val="Lined - Accent 3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61">
    <w:name w:val="Lined - Accent 4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62">
    <w:name w:val="Lined - Accent 5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63">
    <w:name w:val="Lined - Accent 6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64">
    <w:name w:val="Bordered &amp; Lined - Accent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65">
    <w:name w:val="Bordered &amp; Lined - Accent 1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66">
    <w:name w:val="Bordered &amp; Lined - Accent 2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67">
    <w:name w:val="Bordered &amp; Lined - Accent 3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68">
    <w:name w:val="Bordered &amp; Lined - Accent 4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69">
    <w:name w:val="Bordered &amp; Lined - Accent 5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70">
    <w:name w:val="Bordered &amp; Lined - Accent 6"/>
    <w:basedOn w:val="6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7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2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3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74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75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76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77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78">
    <w:name w:val="Hyperlink"/>
    <w:uiPriority w:val="99"/>
    <w:unhideWhenUsed/>
    <w:rPr>
      <w:color w:val="0000FF" w:themeColor="hyperlink"/>
      <w:u w:val="single"/>
    </w:rPr>
  </w:style>
  <w:style w:type="paragraph" w:styleId="679">
    <w:name w:val="footnote text"/>
    <w:basedOn w:val="692"/>
    <w:link w:val="680"/>
    <w:uiPriority w:val="99"/>
    <w:semiHidden/>
    <w:unhideWhenUsed/>
    <w:rPr>
      <w:sz w:val="18"/>
    </w:rPr>
    <w:pPr>
      <w:spacing w:lineRule="auto" w:line="240" w:after="40"/>
    </w:pPr>
  </w:style>
  <w:style w:type="character" w:styleId="680">
    <w:name w:val="Footnote Text Char"/>
    <w:link w:val="679"/>
    <w:uiPriority w:val="99"/>
    <w:rPr>
      <w:sz w:val="18"/>
    </w:rPr>
  </w:style>
  <w:style w:type="character" w:styleId="681">
    <w:name w:val="footnote reference"/>
    <w:basedOn w:val="693"/>
    <w:uiPriority w:val="99"/>
    <w:unhideWhenUsed/>
    <w:rPr>
      <w:vertAlign w:val="superscript"/>
    </w:rPr>
  </w:style>
  <w:style w:type="paragraph" w:styleId="682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683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684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685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686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687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688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689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690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691">
    <w:name w:val="TOC Heading"/>
    <w:uiPriority w:val="39"/>
    <w:unhideWhenUsed/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2.rada.gov.ua/laws/show/280/97-%D0%B2%D1%80/page6?text=%F1%F2%E0%F0#w14" TargetMode="External"/><Relationship Id="rId10" Type="http://schemas.openxmlformats.org/officeDocument/2006/relationships/hyperlink" Target="http://zakon2.rada.gov.ua/laws/show/280/97-%D0%B2%D1%80/page6?text=%F1%F2%E0%F0#w15" TargetMode="External"/><Relationship Id="rId11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yperlink" Target="http://zakon2.rada.gov.ua/laws/show/280/97-%D0%B2%D1%80/page6?text=%F1%F2%E0%F0#w16" TargetMode="External"/><Relationship Id="rId13" Type="http://schemas.openxmlformats.org/officeDocument/2006/relationships/hyperlink" Target="http://zakon2.rada.gov.ua/laws/show/280/97-%D0%B2%D1%80/page6?text=%F1%F2%E0%F0#w17" TargetMode="External"/><Relationship Id="rId14" Type="http://schemas.openxmlformats.org/officeDocument/2006/relationships/hyperlink" Target="http://zakon2.rada.gov.ua/laws/show/93-15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14</cp:revision>
  <dcterms:created xsi:type="dcterms:W3CDTF">2019-03-29T20:09:00Z</dcterms:created>
  <dcterms:modified xsi:type="dcterms:W3CDTF">2020-12-07T12:34:13Z</dcterms:modified>
</cp:coreProperties>
</file>