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___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Положення про постійні комісії ради та обрання постійних комісій Менської міської  ради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9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47 Закону України «Про місцеве самоврядування в Україні», Менська міська рада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/>
    </w:p>
    <w:p>
      <w:pPr>
        <w:pStyle w:val="482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Положення про постійні комісії Менської міської ради 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Обрати постійні комісії Менської міської ради у наступному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планування, фінансів, бюджету та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Бутенко Роман Олексійович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Нерослик Алла Петрівна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Грищенко Віктор Костянтинович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Невжинський Володимир Михайлович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Щукін Валерій Миколайович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3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житлово-комунального господарства та комунальної власності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Булавка Оксана Михайлівна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Бець Анатолій Тихонович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4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Гаєвой Сергій Миколайович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Чепурко Сергій Олександрович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Гнип Володимир Іванович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Івченко Юрій Миколайович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Верхоляк Євген Вікторович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Півень Оксана Олександрівна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Скобєлєва Вікторія Миколаївна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Хоменко Віталій Валерійович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Гончар Наталія Вікторівна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Мурована Людмила Іванівна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Палієнко Руслан Анатолійович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питань регламенту, етики, законності та правопорярдку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Черток Валерій Борисович - голова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Прищепа Вікторія Василівна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Стародуб Олена Миколаївна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Фесюн Катерина Олексіївна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</w:rPr>
        <w:t xml:space="preserve">авченко Віталій Валентинович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7"/>
        </w:numPr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Стальниченко </w:t>
      </w:r>
      <w:r>
        <w:rPr>
          <w:rFonts w:ascii="Times New Roman" w:hAnsi="Times New Roman" w:cs="Times New Roman" w:eastAsia="Times New Roman"/>
          <w:sz w:val="28"/>
        </w:rPr>
        <w:t xml:space="preserve">Юрій Валерійович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482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Головам утворених постійних комісій Менської міської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39"/>
        </w:numPr>
        <w:ind w:left="0" w:right="0" w:firstLine="425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на секретаря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811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до рішення 1 сесії міської ради VІІІ скликання від 09 грудня 2020 р. «Про затвердження Положення про постійні комісії ради та обрання постійних комісій Менської міської ради»</w:t>
      </w:r>
      <w:r>
        <w:rPr>
          <w:sz w:val="2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постійні комісії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відання ради, здійснення контролю за виконанням рішень ради, контролю за рішенн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ями виконавчого комітету.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До складу постійної комісії не можуть бути обрані міський голова та секретар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Постійна комісія підзвітна Менській міській раді та відповідальна перед нею.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1.6. Діяльність постійної комісії ради здійснюється на основі планів роботи, прийнятих на засіданні постійної комісії, доручень громади, міського голови або секретаря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Постійна комісія в своїй діяльності взаємодіє з іншими постійними та тимчасовими комісіями ради, управліннями та відділами виконавчих органів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Засідання постійної комісії скликаються в міру необхідності, але не рідше одного разу на місяць і є правомочними, якщо в них бере участь не менш як половина від загального складу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1.9. Перелік і функціональна спрямованість постійних комісій визначаються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політики постійними комісіями відповідної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1.10. Депутати працюють у постійній комісії на громадських засадах.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Голова постійної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Здійснює безпосереднє керівництво діяльністю комісії та організує її роботу, у тому числі забезпечує організаційну підготовку її засідань.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Скликає і веде засідання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Дає доручення членам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Представляє комісію у відносинах з іншими органами, об'єднаннями громадян, підприємствами, установами, організаціями, а також громадянами.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Організує роботу по реалізації висновків і рекомендацій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Аналізує результати роботи і вживає заходи щодо підвищення ефективності діяльності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Відповідає за підготовку довідок, звітів, інформацій з питань роботи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2.8. Забезпечує гласність в роботі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2.9.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постійної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Посадові та зацікавлені особи запрошуються на засідання заздалегідь секретарем комісії. Комісія має право залучати до роботи в комісії працівників управлінь, відділів, секторів міської ради її комунальних підприємств, установ, закладів.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Завдання та організація діяльності постійної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Основним завданням постійної комісії є розробка та попередній розгляд проектів рішень, що виносяться на розгляд ради, підготовка висновків з питань, які планується винести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 Постійні комісії за дорученням ради, секретаря міської ради або за власною ініціативою вивчають діяльність підзвітних і підконтрольних раді та виконавчому комітету міської ради органів, а також питань, віднесених до відання ради, місцевих державних адм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омітету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здійснюють контроль за виконанням рішень ради, виконавчого комітету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3.5.За результатами вивчення і розгляду питань постійні комісії готують висновки і рекомендації. Висновки і рекомендації постійної комісії приймаються більшістю голосів від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загального складу комісії і підписуються головою комісії, а в разі його відсутності – заступником голови або секретарем комісії. Протоколи засідань комісії підписуються головою і секретарем комісії. Висновки і рекомендації постійної комісії, протоколи її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асідань є відкритими та оприлюднюються і надаються на запит відповідно до Закону України «Про доступ до публічної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інформації» у спосіб, визначений Регламентом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трок.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3.7.Постійна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представників управлінь та відділів ради, спеціалістів (у тому числі незалежних експертів).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3.8.Питання, які належать до відання кількох постійних комісій, можуть за ініціативою комісії, а також за дорученням ради, її голови чи секретаря розглядатися постійними комісіями спільно. Висновки і рекомендації, прийняті постійними комісіями на їх спільн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засіданнях, підписуються головами відповідних постійних комісій.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3.9.Всі питання, які виносяться на розгляд сесії, попередньо обов’язково розглядаються профільною постійною комісією.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Напрямки діяльності постійних комісій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4.1. Постійна комісія з питань планування, фінансів, бюджету та соціально-економічного розвитку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 програм соціально-економічного і культурного розвитку, інвестиційних проектів та програм, у тому числі тих, що можуть реалізовуватись за рахунок Державного фонду регіонального розвитку, міжнародних програм, проектів міжнародної технічної допомог</w:t>
      </w:r>
      <w:r>
        <w:rPr>
          <w:rFonts w:ascii="Times New Roman" w:hAnsi="Times New Roman" w:cs="Times New Roman" w:eastAsia="Times New Roman"/>
          <w:sz w:val="28"/>
        </w:rPr>
        <w:t xml:space="preserve">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місцевого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звіти про хід і результати виконання прийнятих програм і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контролю за утворенням та використанням позабюджетних цільових фондів;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пропозицій щодо встановлення місцевих податків і зборів, розміри їх ставок;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по місцевих податках і зборах;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розгляду сесії міської ради питання з проблем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бюджету та фінансів;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0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контролю ходу виконання законодавчих актів та рішень сесій міської ради з питань бюджету, соціально-економічного розвитку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регуляторних актів щодо їх відповідності вимогам Закону України «Про засади </w:t>
      </w:r>
      <w:r>
        <w:rPr>
          <w:rFonts w:ascii="Times New Roman" w:hAnsi="Times New Roman" w:cs="Times New Roman" w:eastAsia="Times New Roman"/>
          <w:sz w:val="28"/>
        </w:rPr>
        <w:t xml:space="preserve">державної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регуляторної політики у сфері господарської діяльності», у ході розгляду яких забезпечує підготовку експертного висновку до проектів регуляторних актів, які 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проводить аналіз відповідності проектів рішень міської ради розпоряджень міського голови вимогам Конституції України та чинним законам з питань бюджету і фінансів, соціально-економічного розвитку;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збирає, вивчає інформацію з питань, що належать до її компетенції, організовує слухання з цих питань, в тому числі й на пленарних засіданнях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необхідності залучає правоохоронні  та контролюючі органи, установи, а також вимагає від них подання відомостей, необхідних для здійснення своєї діяльності;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надає консультації органам і посадовим особам з питань витрачання коштів міського бюджету. В ході проведення перевірок та аналізу стану економіки розробляє заходи щодо вишукування можливостей і нових джерел залучення додаткових надходжень до  міського</w:t>
      </w:r>
      <w:r>
        <w:rPr>
          <w:rFonts w:ascii="Times New Roman" w:hAnsi="Times New Roman" w:cs="Times New Roman" w:eastAsia="Times New Roman"/>
          <w:sz w:val="28"/>
        </w:rPr>
        <w:t xml:space="preserve"> бюджету, вносить відповідні пропозиції раді;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віднесені до її відання звернення громадян відповідно до Закону України „Про звернення громадян”. Бере участь у розробці заходів по реалізації наказів виборців, сприяє організації їх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1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розглядає інші питання, які віднесені до відання міської ради та комісії.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4.2. Постійна комісія з питань житлово-комунального господарства та комунальної власності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звіти про виконання програм і міського бюджету, а також звіти про хід та результати відчуження комунального майна;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структури управління житлово-комунальним та енергетичним господарством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рівня забезпеченості житлово-комунальними послугами, поліпшення їх якості, тощо та забезпечення їх реалізації;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розгляду проектів міських програм в сфері розвитку дорожньо-транспортної інфраструктури, благоустрою населених пунктf[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і реорганізації підприємств комунальної власності;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щодо стану та ефективного використання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встановлення порядку та здійснення контролю за використанням прибутків підприємств, установ та організацій комунальної власності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і розгляду проектів місцевих програм приватизації та переліку об’єктів комунальної власності об’єднаної територіальної громади, які не підлягають приватизації;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8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виконавчим органам Менської міської ради в управлінні об’єктами житлово-комунального господарства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житлово-комунального господарства об’єднаної територіальної громади, інші питання, які вносяться на розгляд ради;</w:t>
      </w:r>
      <w:r>
        <w:rPr>
          <w:sz w:val="28"/>
        </w:rPr>
      </w:r>
      <w:r/>
    </w:p>
    <w:p>
      <w:pPr>
        <w:pStyle w:val="482"/>
        <w:numPr>
          <w:ilvl w:val="0"/>
          <w:numId w:val="22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про стан та розвиток транспортної мережі, покращення пасажирських перевезень в громаді.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4.3. Постійна комісія з питань містобудування, будівництва, земельних відносин та охорони природи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об’єднаної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місцевих програм охорони довкілля;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координації діяльності суб’єктів містобудування щодо комплексної забудови населених пунктів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режиму використання територій і об’єктів природно-заповідного фонду місцевого значення;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ставок орендної плати за користування землею та об’єктами природоохоронного та водного фонду (спільно з Постійною комісією з питань планування, фінансів, бюджету та соціально-економічного розвитку);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будівництва;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планів і програм будівництва та реконструкції об’єктів комунального господарства та соціально-культурного призначення, житлових будинків, шляхів об’єднаної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17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розробки містобудівних програм, генеральних планів забудов.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3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</w:t>
      </w:r>
      <w:r>
        <w:rPr>
          <w:rFonts w:ascii="Times New Roman" w:hAnsi="Times New Roman" w:cs="Times New Roman" w:eastAsia="Times New Roman"/>
          <w:sz w:val="28"/>
        </w:rPr>
        <w:t xml:space="preserve">і готує питання про стан та розвиток містобудування і архітектури, інші питання, які виносяться на розгляд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4.4. Постійна комісія з питань охорони здоров'я, соціального захисту, освіти, культури, молоді, фізкультури і спорту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програм соціально-економічного і культурного розвитку Менської міської територіальної громади, населених пунктів, розташованих на території юрисдикції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проекти та звіти про виконання місцевих програм і бюджету на відповід</w:t>
      </w:r>
      <w:r>
        <w:rPr>
          <w:rFonts w:ascii="Times New Roman" w:hAnsi="Times New Roman" w:cs="Times New Roman" w:eastAsia="Times New Roman"/>
          <w:sz w:val="28"/>
        </w:rPr>
        <w:t xml:space="preserve">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питання Менської міської об’єднаної територіальної громади щодо: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розвитку культури;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сприяння відродженню осередків традиційної народної творчості, національно-культурних традицій населення, художніх промислів і ремесел;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занять фізичною культурою і спортом;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</w:t>
      </w:r>
      <w:r>
        <w:rPr>
          <w:rFonts w:ascii="Times New Roman" w:hAnsi="Times New Roman" w:cs="Times New Roman" w:eastAsia="Times New Roman"/>
          <w:sz w:val="28"/>
        </w:rPr>
        <w:t xml:space="preserve">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</w:t>
      </w:r>
      <w:r>
        <w:rPr>
          <w:rFonts w:ascii="Times New Roman" w:hAnsi="Times New Roman" w:cs="Times New Roman" w:eastAsia="Times New Roman"/>
          <w:sz w:val="28"/>
        </w:rPr>
        <w:t xml:space="preserve">ховних закладів, дитячих, молодіжних та науково-просвітницьких організацій;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оптимізації структури системи дошкільної та шкільної освіти у об’єднаній територіальній громаді;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ефективного використання культурно-освітніх, спортивних закладів, дитячих дошкільних і позашкільних установ;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сприяння виконавчим органам в управлінні закладами освіти, культури, фізкультури і спорту;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реаліза</w:t>
      </w:r>
      <w:r>
        <w:rPr>
          <w:rFonts w:ascii="Times New Roman" w:hAnsi="Times New Roman" w:cs="Times New Roman" w:eastAsia="Times New Roman"/>
          <w:sz w:val="28"/>
        </w:rPr>
        <w:t xml:space="preserve">ції та захисту прав людини на працю, охорону здоров’я, материнства і дитинства;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забезпече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соціальної справедливості у всіх сферах громадського життя;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оптимізації структури системи охорони здоров’я у об’єднаній територіальній громаді;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поліпшення житлових і матеріально-побутових умов соціально незахищених громадян;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відповідно до чинного законодавства пільг і допомоги, пов’язаних з охороною материнства і дитинства, пільг громадянам, які постраждали внаслідок Чорнобильської катастрофи;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прав пільгових категорій громадян на безкоштовне отримання ліків, зубопротезування та підготовка відповідних пропозицій міській раді з цих питань;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умовах;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взаємодії з громадськими організаціями, створеними для захисту соціально-економічних інтересів громадян;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5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розгляду санітарно-епідеміологічного благополуччя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82"/>
        <w:numPr>
          <w:ilvl w:val="0"/>
          <w:numId w:val="24"/>
        </w:numPr>
        <w:ind w:righ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вивчає і готує питання </w:t>
      </w:r>
      <w:r>
        <w:rPr>
          <w:rFonts w:ascii="Times New Roman" w:hAnsi="Times New Roman" w:cs="Times New Roman" w:eastAsia="Times New Roman"/>
          <w:sz w:val="28"/>
        </w:rPr>
        <w:t xml:space="preserve">про стан та розвиток охорони здоров’я, проблем соціального захисту населення,</w:t>
      </w:r>
      <w:r>
        <w:rPr>
          <w:rFonts w:ascii="Times New Roman" w:hAnsi="Times New Roman" w:cs="Times New Roman" w:eastAsia="Times New Roman"/>
          <w:sz w:val="28"/>
        </w:rPr>
        <w:t xml:space="preserve"> освіти, культури, фізкуль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тури і спорту, молодіжних проблем, інші питання, які вносяться на розгляд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Має право розробляти проекти рішень ради. Готує висновки з цих питань, виступає на сесіях ради з доповідями і співдоповідями.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4.5. Постійна комісія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дорученням ради або за власною ініціативою попередньо розглядає: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забезпечення законності, правопорядку, охорони прав, свобод і законних інтересів громадян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утримання органів правопорядку за рахунок бюджету;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депутатської діяльності, додержання норм депутатської етики;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додержання вимог Закону України «Про місцеве самоврядування в Україні»;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пропозиції щодо змін та доповнень до Регламенту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про стан та розвиток місцевого самоврядування, органів самоорганізації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приведенням актів нормативного характеру, виданих радою (у тому числі й попередніх скликань) та її виконавчими органами, у відповідність приписам чинного законодавства України;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5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пов’язані із врегулюванням конфлікту інтересів (у тому числі здійснює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контроль за дотриманням селищним головою, секретарем, депутатами ради вимог ч. 1 ст. 59-1 Закону України «Про місцеве самоврядування в Україні» щодо процедур врегулювання конфлі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кту інтересів), надає голові, секретарю та депутатам ради консультації та роз'яснення щодо запобігання та врегулювання конфлікту інтересів, поводження з майном, що може бути неправомірною вигодою та подарунками.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Взаємодія постійних комісій з виконавчим комітетом, управліннями та відділами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Рекомендації постійної комісії подаються Менському міському голові в письмовій формі з реєстрацією в загальному відділі.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5.2. Виконавчий комітет, управління та відділи ради зобов’язані в п’ятнадцятиденний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У випадку відхилення рекомендації постійної комісії виконавчим комітетом, управлінням чи відділом ради, вона має право повторно винести рекомендації на їх розгляд.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5.4. Якщо пропозиція повторно відхилена, комісія може підготувати на розгляд ради проект рішення з порушеного питання.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5.5. Постійна комісія здійснює контроль за виконанням рішень виконавчого комітету з питань, віднесених до її компетенції.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Heading 1"/>
    <w:basedOn w:val="636"/>
    <w:next w:val="636"/>
    <w:link w:val="4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5">
    <w:name w:val="Heading 1 Char"/>
    <w:basedOn w:val="637"/>
    <w:link w:val="464"/>
    <w:uiPriority w:val="9"/>
    <w:rPr>
      <w:rFonts w:ascii="Arial" w:hAnsi="Arial" w:cs="Arial" w:eastAsia="Arial"/>
      <w:sz w:val="40"/>
      <w:szCs w:val="40"/>
    </w:rPr>
  </w:style>
  <w:style w:type="paragraph" w:styleId="466">
    <w:name w:val="Heading 2"/>
    <w:basedOn w:val="636"/>
    <w:next w:val="636"/>
    <w:link w:val="4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7">
    <w:name w:val="Heading 2 Char"/>
    <w:basedOn w:val="637"/>
    <w:link w:val="466"/>
    <w:uiPriority w:val="9"/>
    <w:rPr>
      <w:rFonts w:ascii="Arial" w:hAnsi="Arial" w:cs="Arial" w:eastAsia="Arial"/>
      <w:sz w:val="34"/>
    </w:rPr>
  </w:style>
  <w:style w:type="paragraph" w:styleId="468">
    <w:name w:val="Heading 3"/>
    <w:basedOn w:val="636"/>
    <w:next w:val="636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9">
    <w:name w:val="Heading 3 Char"/>
    <w:basedOn w:val="637"/>
    <w:link w:val="468"/>
    <w:uiPriority w:val="9"/>
    <w:rPr>
      <w:rFonts w:ascii="Arial" w:hAnsi="Arial" w:cs="Arial" w:eastAsia="Arial"/>
      <w:sz w:val="30"/>
      <w:szCs w:val="30"/>
    </w:rPr>
  </w:style>
  <w:style w:type="paragraph" w:styleId="470">
    <w:name w:val="Heading 4"/>
    <w:basedOn w:val="636"/>
    <w:next w:val="636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1">
    <w:name w:val="Heading 4 Char"/>
    <w:basedOn w:val="637"/>
    <w:link w:val="470"/>
    <w:uiPriority w:val="9"/>
    <w:rPr>
      <w:rFonts w:ascii="Arial" w:hAnsi="Arial" w:cs="Arial" w:eastAsia="Arial"/>
      <w:b/>
      <w:bCs/>
      <w:sz w:val="26"/>
      <w:szCs w:val="26"/>
    </w:rPr>
  </w:style>
  <w:style w:type="paragraph" w:styleId="472">
    <w:name w:val="Heading 5"/>
    <w:basedOn w:val="636"/>
    <w:next w:val="636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3">
    <w:name w:val="Heading 5 Char"/>
    <w:basedOn w:val="637"/>
    <w:link w:val="472"/>
    <w:uiPriority w:val="9"/>
    <w:rPr>
      <w:rFonts w:ascii="Arial" w:hAnsi="Arial" w:cs="Arial" w:eastAsia="Arial"/>
      <w:b/>
      <w:bCs/>
      <w:sz w:val="24"/>
      <w:szCs w:val="24"/>
    </w:rPr>
  </w:style>
  <w:style w:type="paragraph" w:styleId="474">
    <w:name w:val="Heading 6"/>
    <w:basedOn w:val="636"/>
    <w:next w:val="636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5">
    <w:name w:val="Heading 6 Char"/>
    <w:basedOn w:val="637"/>
    <w:link w:val="474"/>
    <w:uiPriority w:val="9"/>
    <w:rPr>
      <w:rFonts w:ascii="Arial" w:hAnsi="Arial" w:cs="Arial" w:eastAsia="Arial"/>
      <w:b/>
      <w:bCs/>
      <w:sz w:val="22"/>
      <w:szCs w:val="22"/>
    </w:rPr>
  </w:style>
  <w:style w:type="paragraph" w:styleId="476">
    <w:name w:val="Heading 7"/>
    <w:basedOn w:val="636"/>
    <w:next w:val="636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7">
    <w:name w:val="Heading 7 Char"/>
    <w:basedOn w:val="637"/>
    <w:link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8">
    <w:name w:val="Heading 8"/>
    <w:basedOn w:val="636"/>
    <w:next w:val="636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9">
    <w:name w:val="Heading 8 Char"/>
    <w:basedOn w:val="637"/>
    <w:link w:val="478"/>
    <w:uiPriority w:val="9"/>
    <w:rPr>
      <w:rFonts w:ascii="Arial" w:hAnsi="Arial" w:cs="Arial" w:eastAsia="Arial"/>
      <w:i/>
      <w:iCs/>
      <w:sz w:val="22"/>
      <w:szCs w:val="22"/>
    </w:rPr>
  </w:style>
  <w:style w:type="paragraph" w:styleId="480">
    <w:name w:val="Heading 9"/>
    <w:basedOn w:val="636"/>
    <w:next w:val="636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1">
    <w:name w:val="Heading 9 Char"/>
    <w:basedOn w:val="637"/>
    <w:link w:val="480"/>
    <w:uiPriority w:val="9"/>
    <w:rPr>
      <w:rFonts w:ascii="Arial" w:hAnsi="Arial" w:cs="Arial" w:eastAsia="Arial"/>
      <w:i/>
      <w:iCs/>
      <w:sz w:val="21"/>
      <w:szCs w:val="21"/>
    </w:rPr>
  </w:style>
  <w:style w:type="paragraph" w:styleId="482">
    <w:name w:val="List Paragraph"/>
    <w:basedOn w:val="636"/>
    <w:qFormat/>
    <w:uiPriority w:val="34"/>
    <w:pPr>
      <w:contextualSpacing w:val="true"/>
      <w:ind w:left="720"/>
    </w:pPr>
  </w:style>
  <w:style w:type="paragraph" w:styleId="483">
    <w:name w:val="No Spacing"/>
    <w:qFormat/>
    <w:uiPriority w:val="1"/>
    <w:pPr>
      <w:spacing w:lineRule="auto" w:line="240" w:after="0" w:before="0"/>
    </w:pPr>
  </w:style>
  <w:style w:type="paragraph" w:styleId="484">
    <w:name w:val="Title"/>
    <w:basedOn w:val="636"/>
    <w:next w:val="636"/>
    <w:link w:val="4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5">
    <w:name w:val="Title Char"/>
    <w:basedOn w:val="637"/>
    <w:link w:val="484"/>
    <w:uiPriority w:val="10"/>
    <w:rPr>
      <w:sz w:val="48"/>
      <w:szCs w:val="48"/>
    </w:rPr>
  </w:style>
  <w:style w:type="paragraph" w:styleId="486">
    <w:name w:val="Subtitle"/>
    <w:basedOn w:val="636"/>
    <w:next w:val="636"/>
    <w:link w:val="487"/>
    <w:qFormat/>
    <w:uiPriority w:val="11"/>
    <w:rPr>
      <w:sz w:val="24"/>
      <w:szCs w:val="24"/>
    </w:rPr>
    <w:pPr>
      <w:spacing w:after="200" w:before="200"/>
    </w:pPr>
  </w:style>
  <w:style w:type="character" w:styleId="487">
    <w:name w:val="Subtitle Char"/>
    <w:basedOn w:val="637"/>
    <w:link w:val="486"/>
    <w:uiPriority w:val="11"/>
    <w:rPr>
      <w:sz w:val="24"/>
      <w:szCs w:val="24"/>
    </w:rPr>
  </w:style>
  <w:style w:type="paragraph" w:styleId="488">
    <w:name w:val="Quote"/>
    <w:basedOn w:val="636"/>
    <w:next w:val="636"/>
    <w:link w:val="489"/>
    <w:qFormat/>
    <w:uiPriority w:val="29"/>
    <w:rPr>
      <w:i/>
    </w:rPr>
    <w:pPr>
      <w:ind w:left="720" w:right="720"/>
    </w:pPr>
  </w:style>
  <w:style w:type="character" w:styleId="489">
    <w:name w:val="Quote Char"/>
    <w:link w:val="488"/>
    <w:uiPriority w:val="29"/>
    <w:rPr>
      <w:i/>
    </w:rPr>
  </w:style>
  <w:style w:type="paragraph" w:styleId="490">
    <w:name w:val="Intense Quote"/>
    <w:basedOn w:val="636"/>
    <w:next w:val="636"/>
    <w:link w:val="49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1">
    <w:name w:val="Intense Quote Char"/>
    <w:link w:val="490"/>
    <w:uiPriority w:val="30"/>
    <w:rPr>
      <w:i/>
    </w:rPr>
  </w:style>
  <w:style w:type="paragraph" w:styleId="492">
    <w:name w:val="Header"/>
    <w:basedOn w:val="636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3">
    <w:name w:val="Header Char"/>
    <w:basedOn w:val="637"/>
    <w:link w:val="492"/>
    <w:uiPriority w:val="99"/>
  </w:style>
  <w:style w:type="paragraph" w:styleId="494">
    <w:name w:val="Footer"/>
    <w:basedOn w:val="636"/>
    <w:link w:val="4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5">
    <w:name w:val="Footer Char"/>
    <w:basedOn w:val="637"/>
    <w:link w:val="494"/>
    <w:uiPriority w:val="99"/>
  </w:style>
  <w:style w:type="table" w:styleId="496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9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3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5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6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8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0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2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3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5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8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9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0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2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3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4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0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2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3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4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5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6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8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9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0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2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3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4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5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6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7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8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9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0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1">
    <w:name w:val="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 &amp; 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9">
    <w:name w:val="Bordered &amp; 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0">
    <w:name w:val="Bordered &amp; 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1">
    <w:name w:val="Bordered &amp; 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2">
    <w:name w:val="Bordered &amp; 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3">
    <w:name w:val="Bordered &amp; 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4">
    <w:name w:val="Bordered &amp; 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5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6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7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8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9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0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2">
    <w:name w:val="Hyperlink"/>
    <w:uiPriority w:val="99"/>
    <w:unhideWhenUsed/>
    <w:rPr>
      <w:color w:val="0000FF" w:themeColor="hyperlink"/>
      <w:u w:val="single"/>
    </w:rPr>
  </w:style>
  <w:style w:type="paragraph" w:styleId="623">
    <w:name w:val="footnote text"/>
    <w:basedOn w:val="636"/>
    <w:link w:val="624"/>
    <w:uiPriority w:val="99"/>
    <w:semiHidden/>
    <w:unhideWhenUsed/>
    <w:rPr>
      <w:sz w:val="18"/>
    </w:rPr>
    <w:pPr>
      <w:spacing w:lineRule="auto" w:line="240" w:after="40"/>
    </w:pPr>
  </w:style>
  <w:style w:type="character" w:styleId="624">
    <w:name w:val="Footnote Text Char"/>
    <w:link w:val="623"/>
    <w:uiPriority w:val="99"/>
    <w:rPr>
      <w:sz w:val="18"/>
    </w:rPr>
  </w:style>
  <w:style w:type="character" w:styleId="625">
    <w:name w:val="footnote reference"/>
    <w:basedOn w:val="637"/>
    <w:uiPriority w:val="99"/>
    <w:unhideWhenUsed/>
    <w:rPr>
      <w:vertAlign w:val="superscript"/>
    </w:rPr>
  </w:style>
  <w:style w:type="paragraph" w:styleId="626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627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628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629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630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631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632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633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634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635">
    <w:name w:val="TOC Heading"/>
    <w:uiPriority w:val="39"/>
    <w:unhideWhenUsed/>
  </w:style>
  <w:style w:type="paragraph" w:styleId="636" w:default="1">
    <w:name w:val="Normal"/>
    <w:qFormat/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10</cp:revision>
  <dcterms:created xsi:type="dcterms:W3CDTF">2019-03-29T20:09:00Z</dcterms:created>
  <dcterms:modified xsi:type="dcterms:W3CDTF">2020-12-06T14:43:48Z</dcterms:modified>
</cp:coreProperties>
</file>