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b/>
          <w:color w:val="00000A"/>
          <w:sz w:val="28"/>
          <w:szCs w:val="28"/>
          <w:lang w:val="ru-RU" w:eastAsia="ru-RU"/>
        </w:rPr>
      </w:pPr>
      <w:r>
        <w:rPr>
          <w:rFonts w:ascii="Calibri" w:hAnsi="Calibri" w:eastAsia="Calibri"/>
          <w:color w:val="00000A"/>
          <w:sz w:val="22"/>
          <w:szCs w:val="22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/>
        <w:rPr>
          <w:color w:val="00000A"/>
          <w:sz w:val="28"/>
          <w:szCs w:val="28"/>
          <w:lang w:val="ru-RU" w:eastAsia="ru-RU"/>
        </w:rPr>
      </w:pPr>
      <w:r>
        <w:rPr>
          <w:color w:val="00000A"/>
          <w:sz w:val="28"/>
          <w:szCs w:val="28"/>
          <w:lang w:val="ru-RU" w:eastAsia="ru-RU"/>
        </w:rPr>
        <w:t xml:space="preserve">Україна</w:t>
      </w:r>
      <w:r/>
    </w:p>
    <w:p>
      <w:pPr>
        <w:jc w:val="center"/>
        <w:spacing w:lineRule="auto" w:line="240"/>
        <w:rPr>
          <w:b/>
          <w:color w:val="00000A"/>
          <w:sz w:val="32"/>
          <w:szCs w:val="32"/>
          <w:lang w:val="ru-RU" w:eastAsia="ru-RU"/>
        </w:rPr>
      </w:pPr>
      <w:r>
        <w:rPr>
          <w:b/>
          <w:color w:val="00000A"/>
          <w:sz w:val="32"/>
          <w:szCs w:val="32"/>
          <w:lang w:val="ru-RU" w:eastAsia="ru-RU"/>
        </w:rPr>
        <w:t xml:space="preserve">МЕНСЬКА  МІСЬКА   РАДА</w:t>
      </w:r>
      <w:r/>
    </w:p>
    <w:p>
      <w:pPr>
        <w:jc w:val="center"/>
        <w:spacing w:lineRule="auto" w:line="240"/>
        <w:rPr>
          <w:b/>
          <w:color w:val="00000A"/>
          <w:sz w:val="28"/>
          <w:szCs w:val="28"/>
          <w:lang w:val="ru-RU" w:eastAsia="ru-RU"/>
        </w:rPr>
      </w:pPr>
      <w:r>
        <w:rPr>
          <w:b/>
          <w:color w:val="00000A"/>
          <w:sz w:val="28"/>
          <w:szCs w:val="28"/>
          <w:lang w:val="ru-RU" w:eastAsia="ru-RU"/>
        </w:rPr>
        <w:t xml:space="preserve">Менського</w:t>
      </w:r>
      <w:r>
        <w:rPr>
          <w:b/>
          <w:color w:val="00000A"/>
          <w:sz w:val="28"/>
          <w:szCs w:val="28"/>
          <w:lang w:val="ru-RU" w:eastAsia="ru-RU"/>
        </w:rPr>
        <w:t xml:space="preserve"> району  </w:t>
      </w:r>
      <w:r>
        <w:rPr>
          <w:b/>
          <w:color w:val="00000A"/>
          <w:sz w:val="28"/>
          <w:szCs w:val="28"/>
          <w:lang w:val="ru-RU" w:eastAsia="ru-RU"/>
        </w:rPr>
        <w:t xml:space="preserve">Чернігівської</w:t>
      </w:r>
      <w:r>
        <w:rPr>
          <w:b/>
          <w:color w:val="00000A"/>
          <w:sz w:val="28"/>
          <w:szCs w:val="28"/>
          <w:lang w:val="ru-RU" w:eastAsia="ru-RU"/>
        </w:rPr>
        <w:t xml:space="preserve"> </w:t>
      </w:r>
      <w:r>
        <w:rPr>
          <w:b/>
          <w:color w:val="00000A"/>
          <w:sz w:val="28"/>
          <w:szCs w:val="28"/>
          <w:lang w:val="ru-RU" w:eastAsia="ru-RU"/>
        </w:rPr>
        <w:t xml:space="preserve">області</w:t>
      </w:r>
      <w:r/>
    </w:p>
    <w:p>
      <w:pPr>
        <w:jc w:val="center"/>
        <w:spacing w:lineRule="auto" w:line="240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ВИКОНАВЧИЙ   КОМІТЕТ</w:t>
      </w:r>
      <w:r/>
    </w:p>
    <w:p>
      <w:pPr>
        <w:spacing w:lineRule="auto" w:line="240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</w:r>
      <w:r/>
    </w:p>
    <w:p>
      <w:pPr>
        <w:spacing w:lineRule="auto" w:line="24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</w:t>
      </w:r>
      <w:r>
        <w:rPr>
          <w:b/>
          <w:sz w:val="28"/>
          <w:szCs w:val="28"/>
          <w:lang w:eastAsia="uk-UA"/>
        </w:rPr>
        <w:t xml:space="preserve">                   П Р О Є</w:t>
      </w:r>
      <w:r>
        <w:rPr>
          <w:b/>
          <w:sz w:val="28"/>
          <w:szCs w:val="28"/>
          <w:lang w:eastAsia="uk-UA"/>
        </w:rPr>
        <w:t xml:space="preserve"> К Т  </w:t>
      </w:r>
      <w:r>
        <w:rPr>
          <w:b/>
          <w:sz w:val="28"/>
          <w:szCs w:val="28"/>
          <w:lang w:eastAsia="uk-UA"/>
        </w:rPr>
        <w:t xml:space="preserve">Р І Ш Е Н </w:t>
      </w:r>
      <w:r>
        <w:rPr>
          <w:b/>
          <w:sz w:val="28"/>
          <w:szCs w:val="28"/>
          <w:lang w:eastAsia="uk-UA"/>
        </w:rPr>
        <w:t xml:space="preserve">Н</w:t>
      </w:r>
      <w:r>
        <w:rPr>
          <w:b/>
          <w:sz w:val="28"/>
          <w:szCs w:val="28"/>
          <w:lang w:eastAsia="uk-UA"/>
        </w:rPr>
        <w:t xml:space="preserve"> Я</w:t>
      </w:r>
      <w:r/>
    </w:p>
    <w:p>
      <w:pPr>
        <w:jc w:val="center"/>
        <w:spacing w:lineRule="auto" w:line="24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spacing w:lineRule="auto" w:line="240"/>
        <w:widowControl w:val="off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  <w:r/>
    </w:p>
    <w:p>
      <w:pPr>
        <w:spacing w:lineRule="auto" w:line="240"/>
        <w:widowControl w:val="off"/>
        <w:rPr>
          <w:rFonts w:cs="Mangal"/>
          <w:b/>
          <w:sz w:val="24"/>
          <w:szCs w:val="28"/>
          <w:lang w:bidi="hi-IN" w:eastAsia="hi-IN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__</w:t>
      </w:r>
      <w:r>
        <w:rPr>
          <w:rFonts w:cs="Mangal"/>
          <w:b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b/>
          <w:sz w:val="28"/>
          <w:szCs w:val="28"/>
          <w:lang w:bidi="hi-IN" w:eastAsia="hi-IN"/>
        </w:rPr>
        <w:t xml:space="preserve">вересня</w:t>
      </w:r>
      <w:r>
        <w:rPr>
          <w:rFonts w:cs="Mangal"/>
          <w:b/>
          <w:sz w:val="28"/>
          <w:szCs w:val="28"/>
          <w:lang w:bidi="hi-IN" w:eastAsia="hi-IN"/>
        </w:rPr>
        <w:t xml:space="preserve"> 2020</w:t>
      </w:r>
      <w:r>
        <w:rPr>
          <w:rFonts w:cs="Mangal"/>
          <w:b/>
          <w:sz w:val="28"/>
          <w:szCs w:val="28"/>
          <w:lang w:bidi="hi-IN" w:eastAsia="hi-IN"/>
        </w:rPr>
        <w:t xml:space="preserve"> року №</w:t>
      </w:r>
      <w:r>
        <w:rPr>
          <w:rFonts w:cs="Mangal"/>
          <w:b/>
          <w:sz w:val="28"/>
          <w:szCs w:val="28"/>
          <w:lang w:bidi="hi-IN" w:eastAsia="hi-IN"/>
        </w:rPr>
        <w:t xml:space="preserve"> </w:t>
      </w:r>
      <w:r/>
    </w:p>
    <w:p>
      <w:pPr>
        <w:ind w:right="5953"/>
        <w:rPr>
          <w:rFonts w:cs="Mangal"/>
          <w:b/>
          <w:sz w:val="24"/>
          <w:szCs w:val="28"/>
          <w:lang w:bidi="hi-IN" w:eastAsia="hi-IN"/>
        </w:rPr>
      </w:pPr>
      <w:r>
        <w:rPr>
          <w:rFonts w:cs="Mangal"/>
          <w:b/>
          <w:sz w:val="24"/>
          <w:szCs w:val="28"/>
          <w:lang w:bidi="hi-IN" w:eastAsia="hi-IN"/>
        </w:rPr>
      </w:r>
      <w:r/>
    </w:p>
    <w:p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 xml:space="preserve">Про встановлення </w:t>
      </w:r>
      <w:r>
        <w:rPr>
          <w:b/>
          <w:sz w:val="28"/>
          <w:szCs w:val="28"/>
        </w:rPr>
        <w:t xml:space="preserve"> пристроїв примусового зниження швидкості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недопущення дорожньо-транспортних пригод та забезпечення безпеки дорожнього руху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ст.ст.6, 27 Закону України  «Про дорожній рух»</w:t>
      </w:r>
      <w:r>
        <w:rPr>
          <w:sz w:val="28"/>
          <w:szCs w:val="28"/>
        </w:rPr>
        <w:t xml:space="preserve">,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 xml:space="preserve">Законом</w:t>
      </w:r>
      <w:r>
        <w:rPr>
          <w:color w:val="303030"/>
          <w:sz w:val="28"/>
          <w:szCs w:val="28"/>
          <w:shd w:val="clear" w:color="auto" w:fill="FFFFFF"/>
        </w:rPr>
        <w:t xml:space="preserve"> України «Про автомобільні дороги», Правилами дорожнього руху, затвердженими постановою Кабін</w:t>
      </w:r>
      <w:r>
        <w:rPr>
          <w:color w:val="303030"/>
          <w:sz w:val="28"/>
          <w:szCs w:val="28"/>
          <w:shd w:val="clear" w:color="auto" w:fill="FFFFFF"/>
        </w:rPr>
        <w:t xml:space="preserve">ету Міністрів України</w:t>
      </w:r>
      <w:r>
        <w:rPr>
          <w:color w:val="303030"/>
          <w:sz w:val="28"/>
          <w:szCs w:val="28"/>
          <w:shd w:val="clear" w:color="auto" w:fill="FFFFFF"/>
        </w:rPr>
        <w:t xml:space="preserve"> від 10.10.2001 № 1306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України “Про місцеве самоврядування в Україні», із змінами та доповненнями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виконавчий комітет Менської міської ради </w:t>
      </w:r>
      <w:r/>
    </w:p>
    <w:p>
      <w:pPr>
        <w:jc w:val="both"/>
        <w:spacing w:lineRule="auto" w:line="360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ВИРІШИВ:</w:t>
      </w:r>
      <w:r/>
    </w:p>
    <w:p>
      <w:pPr>
        <w:ind w:firstLine="454"/>
        <w:jc w:val="both"/>
        <w:spacing w:lineRule="auto" w:line="276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1.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Обмежити</w:t>
      </w:r>
      <w:r>
        <w:rPr>
          <w:rStyle w:val="380"/>
          <w:sz w:val="28"/>
          <w:szCs w:val="28"/>
          <w:shd w:val="clear" w:color="auto" w:fill="FFFFFF"/>
        </w:rPr>
        <w:t xml:space="preserve"> 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швидкість руху транспо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ртних засобів по вул. Титаренка Сергія, 9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 біля 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ЗДО «Дитяча академія»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 Менської міської ради Менського району Чернігівської області</w:t>
      </w:r>
      <w:r>
        <w:rPr>
          <w:rStyle w:val="380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пристрої примусового зниження швидкості  </w:t>
      </w:r>
      <w:r>
        <w:rPr>
          <w:sz w:val="28"/>
          <w:szCs w:val="28"/>
          <w:shd w:val="clear" w:color="auto" w:fill="FFFFFF"/>
        </w:rPr>
        <w:t xml:space="preserve">дорожньо</w:t>
      </w:r>
      <w:r>
        <w:rPr>
          <w:sz w:val="28"/>
          <w:szCs w:val="28"/>
          <w:shd w:val="clear" w:color="auto" w:fill="FFFFFF"/>
        </w:rPr>
        <w:t xml:space="preserve"> – транспортної</w:t>
      </w:r>
      <w:r>
        <w:rPr>
          <w:sz w:val="28"/>
          <w:szCs w:val="28"/>
          <w:shd w:val="clear" w:color="auto" w:fill="FFFFFF"/>
        </w:rPr>
        <w:t xml:space="preserve"> техніки на вулицях і дорогах</w:t>
      </w:r>
      <w:r>
        <w:rPr>
          <w:sz w:val="28"/>
          <w:szCs w:val="28"/>
          <w:shd w:val="clear" w:color="auto" w:fill="FFFFFF"/>
        </w:rPr>
        <w:t xml:space="preserve">, дорожні знаки</w:t>
      </w:r>
      <w:r>
        <w:rPr>
          <w:rStyle w:val="380"/>
          <w:sz w:val="28"/>
          <w:szCs w:val="28"/>
          <w:shd w:val="clear" w:color="auto" w:fill="FFFFFF"/>
        </w:rPr>
        <w:t xml:space="preserve"> 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3.29 «Обмеження максимальної швидкості»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 з дозволеною швидкістю руху не більше ніж 30 км/год.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,</w:t>
      </w:r>
      <w:r>
        <w:rPr>
          <w:rStyle w:val="381"/>
          <w:b/>
          <w:bCs/>
          <w:sz w:val="28"/>
          <w:szCs w:val="28"/>
          <w:shd w:val="clear" w:color="auto" w:fill="FFFFFF"/>
        </w:rPr>
        <w:t xml:space="preserve"> </w:t>
      </w:r>
      <w:r>
        <w:rPr>
          <w:rStyle w:val="380"/>
          <w:b w:val="false"/>
          <w:sz w:val="28"/>
          <w:szCs w:val="28"/>
          <w:shd w:val="clear" w:color="auto" w:fill="FFFFFF"/>
        </w:rPr>
        <w:t xml:space="preserve">1.11 «Пагорб», 1.33 «Діти»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</w:rPr>
        <w:t xml:space="preserve">. </w:t>
      </w:r>
      <w:r/>
    </w:p>
    <w:p>
      <w:pPr>
        <w:ind w:firstLine="454"/>
        <w:jc w:val="both"/>
        <w:spacing w:lineRule="auto" w:line="27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2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</w:t>
      </w:r>
      <w:r>
        <w:rPr>
          <w:sz w:val="28"/>
          <w:szCs w:val="28"/>
          <w:shd w:val="clear" w:color="auto" w:fill="FFFFFF"/>
        </w:rPr>
        <w:t xml:space="preserve">огодити </w:t>
      </w:r>
      <w:r>
        <w:rPr>
          <w:sz w:val="28"/>
          <w:szCs w:val="28"/>
          <w:shd w:val="clear" w:color="auto" w:fill="FFFFFF"/>
        </w:rPr>
        <w:t xml:space="preserve">встановлення пристроїв примусового зниження швидкості та відповідних дорожніх знаків </w:t>
      </w:r>
      <w:r>
        <w:rPr>
          <w:sz w:val="28"/>
          <w:szCs w:val="28"/>
          <w:shd w:val="clear" w:color="auto" w:fill="FFFFFF"/>
        </w:rPr>
        <w:t xml:space="preserve">з </w:t>
      </w:r>
      <w:r>
        <w:rPr>
          <w:sz w:val="28"/>
          <w:szCs w:val="28"/>
        </w:rPr>
        <w:t xml:space="preserve">Головним </w:t>
      </w:r>
      <w:r>
        <w:rPr>
          <w:sz w:val="28"/>
          <w:szCs w:val="28"/>
          <w:shd w:val="clear" w:color="auto" w:fill="FFFFFF"/>
        </w:rPr>
        <w:t xml:space="preserve">Управлінням па</w:t>
      </w:r>
      <w:r>
        <w:rPr>
          <w:sz w:val="28"/>
          <w:szCs w:val="28"/>
          <w:shd w:val="clear" w:color="auto" w:fill="FFFFFF"/>
        </w:rPr>
        <w:t xml:space="preserve">трульної поліції в Чернігівській</w:t>
      </w:r>
      <w:r>
        <w:rPr>
          <w:sz w:val="28"/>
          <w:szCs w:val="28"/>
          <w:shd w:val="clear" w:color="auto" w:fill="FFFFFF"/>
        </w:rPr>
        <w:t xml:space="preserve"> області, після чого встановити відповідні технічні засоби організації дорожнього руху.</w:t>
      </w:r>
      <w:r/>
    </w:p>
    <w:p>
      <w:pPr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4. </w:t>
      </w:r>
      <w:r>
        <w:rPr>
          <w:sz w:val="28"/>
          <w:szCs w:val="28"/>
        </w:rPr>
        <w:t xml:space="preserve">Доручити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виконання встановлення дорожніх знаків після здійснення їх закупівлі Менською міською радою.</w:t>
      </w:r>
      <w:r/>
    </w:p>
    <w:p>
      <w:pPr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Контроль за виконанням даного рішення покласти на </w:t>
      </w:r>
      <w:r>
        <w:rPr>
          <w:sz w:val="28"/>
          <w:szCs w:val="28"/>
        </w:rPr>
        <w:t xml:space="preserve">Гайдукевича М.В.</w:t>
      </w:r>
      <w:r>
        <w:rPr>
          <w:sz w:val="28"/>
          <w:szCs w:val="28"/>
        </w:rPr>
        <w:t xml:space="preserve">, заступника міського голови з питань діяльності виконкому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ind w:left="426" w:firstLine="397"/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6"/>
        <w:ind w:left="0"/>
        <w:tabs>
          <w:tab w:val="left" w:pos="567" w:leader="none"/>
          <w:tab w:val="left" w:pos="666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/>
    </w:p>
    <w:p>
      <w:pPr>
        <w:pStyle w:val="376"/>
        <w:ind w:left="0"/>
        <w:tabs>
          <w:tab w:val="left" w:pos="567" w:leader="none"/>
          <w:tab w:val="left" w:pos="666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 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850" w:right="850" w:bottom="709" w:left="1417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95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tLeast" w:line="100" w:after="0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character" w:styleId="374" w:customStyle="1">
    <w:name w:val="apple-converted-space"/>
    <w:basedOn w:val="371"/>
  </w:style>
  <w:style w:type="character" w:styleId="375">
    <w:name w:val="Hyperlink"/>
    <w:basedOn w:val="371"/>
    <w:rPr>
      <w:color w:val="0000FF"/>
      <w:u w:val="single"/>
    </w:rPr>
  </w:style>
  <w:style w:type="paragraph" w:styleId="376" w:customStyle="1">
    <w:name w:val="Абзац списка1"/>
    <w:basedOn w:val="370"/>
    <w:pPr>
      <w:ind w:left="720"/>
    </w:pPr>
  </w:style>
  <w:style w:type="paragraph" w:styleId="377">
    <w:name w:val="Balloon Text"/>
    <w:basedOn w:val="370"/>
    <w:link w:val="3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378" w:customStyle="1">
    <w:name w:val="Текст выноски Знак"/>
    <w:basedOn w:val="371"/>
    <w:link w:val="377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379">
    <w:name w:val="List Paragraph"/>
    <w:basedOn w:val="370"/>
    <w:qFormat/>
    <w:uiPriority w:val="34"/>
    <w:pPr>
      <w:contextualSpacing w:val="true"/>
      <w:ind w:left="720"/>
    </w:pPr>
  </w:style>
  <w:style w:type="character" w:styleId="380">
    <w:name w:val="Strong"/>
    <w:basedOn w:val="371"/>
    <w:qFormat/>
    <w:uiPriority w:val="22"/>
    <w:rPr>
      <w:b/>
      <w:bCs/>
    </w:rPr>
  </w:style>
  <w:style w:type="character" w:styleId="381">
    <w:name w:val="Emphasis"/>
    <w:basedOn w:val="371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3</cp:revision>
  <dcterms:created xsi:type="dcterms:W3CDTF">2020-09-01T07:22:00Z</dcterms:created>
  <dcterms:modified xsi:type="dcterms:W3CDTF">2020-09-18T09:15:53Z</dcterms:modified>
</cp:coreProperties>
</file>