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lineRule="auto" w:line="240" w:after="0"/>
        <w:tabs>
          <w:tab w:val="left" w:pos="4111" w:leader="none"/>
          <w:tab w:val="left" w:pos="4253" w:leader="none"/>
        </w:tabs>
        <w:rPr>
          <w:rFonts w:ascii="Times New Roman" w:hAnsi="Times New Roman" w:cs="Times New Roman" w:eastAsia="Calibri"/>
          <w:b/>
          <w:sz w:val="24"/>
          <w:szCs w:val="28"/>
        </w:rPr>
      </w:pPr>
      <w:r>
        <w:rPr>
          <w:rFonts w:ascii="Times New Roman" w:hAnsi="Times New Roman" w:cs="Times New Roman" w:eastAsia="Calibri"/>
          <w:b/>
          <w:sz w:val="24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3730" cy="63159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3729" cy="631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7pt;height:49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Calibri"/>
          <w:b/>
          <w:sz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РАДА</w:t>
      </w:r>
      <w:r>
        <w:rPr>
          <w:sz w:val="28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сорок друга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26 серпня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20</w:t>
      </w:r>
      <w:r>
        <w:rPr>
          <w:rFonts w:ascii="Times New Roman" w:hAnsi="Times New Roman" w:cs="Times New Roman" w:eastAsia="Calibri"/>
          <w:sz w:val="28"/>
          <w:szCs w:val="28"/>
        </w:rPr>
        <w:t xml:space="preserve">20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року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№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397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16"/>
          <w:szCs w:val="16"/>
        </w:rPr>
      </w:pPr>
      <w:r>
        <w:rPr>
          <w:rFonts w:ascii="Times New Roman" w:hAnsi="Times New Roman" w:cs="Times New Roman" w:eastAsia="Calibri"/>
          <w:sz w:val="16"/>
          <w:szCs w:val="16"/>
        </w:rPr>
      </w:r>
      <w:r/>
    </w:p>
    <w:p>
      <w:pPr>
        <w:ind w:right="5384"/>
        <w:jc w:val="both"/>
        <w:spacing w:lineRule="auto" w:line="240" w:after="0" w:afterAutospacing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продовження терміну дії договору оренди комунального майна з ТОВ «Менський комунальник»</w:t>
      </w:r>
      <w:r/>
    </w:p>
    <w:p>
      <w:pPr>
        <w:spacing w:lineRule="auto" w:line="240" w:after="0" w:afterAutospacing="0"/>
        <w:rPr>
          <w:rFonts w:ascii="Times New Roman" w:hAnsi="Times New Roman" w:cs="Times New Roman" w:eastAsia="Calibri"/>
          <w:sz w:val="16"/>
          <w:szCs w:val="16"/>
        </w:rPr>
      </w:pPr>
      <w:r>
        <w:rPr>
          <w:rFonts w:ascii="Times New Roman" w:hAnsi="Times New Roman" w:cs="Times New Roman" w:eastAsia="Calibri"/>
          <w:sz w:val="16"/>
          <w:szCs w:val="16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Розглянувши з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аяву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ТОВ «Менський комунальник»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щодо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продовження терміну дії договору оренди комунального майна, а саме цілісного майнового комплексу споруд та обладнання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них комунального водопостачання та водовідведення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від 01 січня 2003 року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керуючись  ст.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ст. 3, 8, 9,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18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Закону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«Про оренду державного та комунального майна»,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пунктами 134-141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Порядку передачі в оренду державного та комунального майна, затвердженого постановою Кабінету Міністрів України  від 03.06.2020 року № 483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п.7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Порядку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формування тарифів на централізоване водопостачання та централізоване водовідведення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затвердженого постановою Кабінету Міністрів України від 01 червня 2011 р. № 869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ст. </w:t>
      </w:r>
      <w:r>
        <w:rPr>
          <w:rFonts w:ascii="Times New Roman" w:hAnsi="Times New Roman" w:cs="Times New Roman" w:eastAsia="Calibri"/>
          <w:sz w:val="28"/>
          <w:szCs w:val="28"/>
        </w:rPr>
        <w:t xml:space="preserve">26, 60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враховуючи рішення 41 сесії сьомого скликання Менської районної ради від 04.08.2020 року № 336,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Менська міська рада </w:t>
      </w:r>
      <w:r/>
    </w:p>
    <w:p>
      <w:pPr>
        <w:ind w:left="0" w:right="0" w:firstLine="0"/>
        <w:spacing w:lineRule="auto" w:line="240" w:after="0" w:afterAutospacing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ВИРІШИЛА:</w:t>
      </w:r>
      <w:r/>
    </w:p>
    <w:p>
      <w:pPr>
        <w:pStyle w:val="568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Продовжити термін дії договору оренди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від 01.01.2003 року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цілісного майнового комплексу споруд та обладнання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них комунального водопостачання та водовідведення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 01.06.2026 року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68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Зобов’язати ТОВ «Менський комунальник» забезпечити безперебійне водопостачання та водовідведення на території міста Мена.</w:t>
      </w:r>
      <w:r>
        <w:rPr>
          <w:sz w:val="28"/>
        </w:rPr>
      </w:r>
      <w:r/>
    </w:p>
    <w:p>
      <w:pPr>
        <w:pStyle w:val="568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Зобов’язати</w:t>
      </w:r>
      <w:r>
        <w:rPr>
          <w:rFonts w:ascii="Times New Roman" w:hAnsi="Times New Roman"/>
          <w:sz w:val="28"/>
          <w:szCs w:val="28"/>
        </w:rPr>
        <w:t xml:space="preserve"> ТОВ «Менський комунальник» здійснювати надання послуг з централізованого водопостачання та водовідведення </w:t>
      </w:r>
      <w:r>
        <w:rPr>
          <w:rFonts w:ascii="Times New Roman" w:hAnsi="Times New Roman"/>
          <w:sz w:val="28"/>
          <w:szCs w:val="28"/>
        </w:rPr>
        <w:t xml:space="preserve">за тарифами в розмірі не </w:t>
      </w:r>
      <w:r>
        <w:rPr>
          <w:rFonts w:ascii="Times New Roman" w:hAnsi="Times New Roman"/>
          <w:sz w:val="28"/>
          <w:szCs w:val="28"/>
        </w:rPr>
        <w:t xml:space="preserve">вище</w:t>
      </w:r>
      <w:r>
        <w:rPr>
          <w:rFonts w:ascii="Times New Roman" w:hAnsi="Times New Roman"/>
          <w:sz w:val="28"/>
          <w:szCs w:val="28"/>
        </w:rPr>
        <w:t xml:space="preserve"> економічно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бґ</w:t>
      </w:r>
      <w:r>
        <w:rPr>
          <w:rFonts w:ascii="Times New Roman" w:hAnsi="Times New Roman"/>
          <w:sz w:val="28"/>
          <w:szCs w:val="28"/>
        </w:rPr>
        <w:t xml:space="preserve">рунтованих</w:t>
      </w:r>
      <w:r>
        <w:rPr>
          <w:rFonts w:ascii="Times New Roman" w:hAnsi="Times New Roman"/>
          <w:sz w:val="28"/>
          <w:szCs w:val="28"/>
        </w:rPr>
        <w:t xml:space="preserve"> витрат на їх виробництво (надання).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568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Міському голові укласти </w:t>
      </w:r>
      <w:r>
        <w:rPr>
          <w:rFonts w:ascii="Times New Roman" w:hAnsi="Times New Roman"/>
          <w:sz w:val="28"/>
          <w:szCs w:val="28"/>
        </w:rPr>
        <w:t xml:space="preserve">додаткову угоду до Договору</w:t>
      </w:r>
      <w:r>
        <w:rPr>
          <w:rFonts w:ascii="Times New Roman" w:hAnsi="Times New Roman"/>
          <w:sz w:val="28"/>
          <w:szCs w:val="28"/>
        </w:rPr>
        <w:t xml:space="preserve"> з ТОВ «Менський комунальник»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формою згідно додатку</w:t>
      </w:r>
      <w:r>
        <w:rPr>
          <w:rFonts w:ascii="Times New Roman" w:hAnsi="Times New Roman"/>
          <w:sz w:val="28"/>
          <w:szCs w:val="28"/>
        </w:rPr>
        <w:t xml:space="preserve"> № 1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цього рішення.</w:t>
      </w:r>
      <w:r>
        <w:rPr>
          <w:sz w:val="28"/>
        </w:rPr>
      </w:r>
      <w:r/>
    </w:p>
    <w:p>
      <w:pPr>
        <w:pStyle w:val="568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Контроль за виконанням рішення покласти на комісію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 питань житлово-комунального господарства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комунальної власності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8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Г.А. Примаков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5387" w:right="-1"/>
        <w:jc w:val="both"/>
        <w:spacing w:lineRule="auto" w:line="240" w:after="0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до рішення 42 сесії сьомого скликання Менської міської ради від 26.08.2020 р. №397 </w:t>
      </w:r>
      <w:r>
        <w:rPr>
          <w:rFonts w:ascii="Times New Roman" w:hAnsi="Times New Roman" w:cs="Times New Roman"/>
          <w:sz w:val="20"/>
          <w:szCs w:val="20"/>
        </w:rPr>
        <w:t xml:space="preserve">«</w:t>
      </w:r>
      <w:r>
        <w:rPr>
          <w:rFonts w:ascii="Times New Roman" w:hAnsi="Times New Roman" w:cs="Times New Roman" w:eastAsia="Calibri"/>
          <w:sz w:val="20"/>
          <w:szCs w:val="20"/>
        </w:rPr>
        <w:t xml:space="preserve">Про продовження терміну дії </w:t>
      </w:r>
      <w:r>
        <w:rPr>
          <w:rFonts w:ascii="Times New Roman" w:hAnsi="Times New Roman" w:cs="Times New Roman" w:eastAsia="Calibri"/>
          <w:sz w:val="20"/>
          <w:szCs w:val="20"/>
        </w:rPr>
        <w:t xml:space="preserve">договору </w:t>
      </w:r>
      <w:r>
        <w:rPr>
          <w:rFonts w:ascii="Times New Roman" w:hAnsi="Times New Roman" w:cs="Times New Roman" w:eastAsia="Calibri"/>
          <w:sz w:val="20"/>
          <w:szCs w:val="20"/>
        </w:rPr>
        <w:t xml:space="preserve">оренди комунального майна з ТОВ «Менський комунальник»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18"/>
          <w:szCs w:val="26"/>
        </w:rPr>
      </w:pPr>
      <w:r>
        <w:rPr>
          <w:rFonts w:ascii="Times New Roman" w:hAnsi="Times New Roman" w:cs="Times New Roman"/>
          <w:b/>
          <w:sz w:val="18"/>
          <w:szCs w:val="26"/>
        </w:rPr>
      </w:r>
      <w:r>
        <w:rPr>
          <w:sz w:val="1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18"/>
          <w:szCs w:val="26"/>
        </w:rPr>
      </w:pPr>
      <w:r>
        <w:rPr>
          <w:rFonts w:ascii="Times New Roman" w:hAnsi="Times New Roman" w:cs="Times New Roman"/>
          <w:b/>
          <w:sz w:val="18"/>
          <w:szCs w:val="26"/>
        </w:rPr>
      </w:r>
      <w:r>
        <w:rPr>
          <w:rFonts w:ascii="Times New Roman" w:hAnsi="Times New Roman" w:cs="Times New Roman"/>
          <w:b/>
          <w:sz w:val="18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ДОДАТКОВА УГОДА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 договору оренди від 01.01.2003 року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цілісного майнового комплексу – споруд та обладнання на них комунального водопостачання та водовідведення 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м.Мена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«___»_________2020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</w:r>
      <w:r>
        <w:rPr>
          <w:sz w:val="1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Менська міська рада Менського району Чернігівської  області в особі міського голови – Примакова Геннадія Анатолійовича, який діє  на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ідставі Закону України «Про місцеве самоврядування в Україні» (Орендодавець) та Товариство з  обмеженою  відповідальністю «Менський комунальник», в особі директора Зими Василя Юхимовича, що діє  на підставі Статуту (Орендар), уклали цю  угоду про наступне: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у зв’язку з  прийняттям рішення сорок другої сесії сьомого скликання Менської міської ради від 26.08.2020 року №397 «Про продовження терміну дії Договору оренди комунального майна з ТОВ «Менський комунальник» Сторони прийшли до згоди про наступне: </w:t>
      </w:r>
      <w:r/>
    </w:p>
    <w:p>
      <w:pPr>
        <w:pStyle w:val="568"/>
        <w:numPr>
          <w:ilvl w:val="0"/>
          <w:numId w:val="4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Продовжити термін дії Договору оренди цілісного майнового комплексу – споруд та обладнання на них комунального водопостачання т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а водовідведення від 01.01.2003 року зі змінами та доповненнями укладеного між Менською міською радою Менського району Чернігівської  області та Товариством з обмеженою відповідальністю «Менський комунальник» (правонаступник ЗАТ «Менський комунальник») </w:t>
      </w:r>
      <w:r>
        <w:rPr>
          <w:rFonts w:ascii="Times New Roman" w:hAnsi="Times New Roman" w:cs="Times New Roman"/>
          <w:sz w:val="26"/>
          <w:szCs w:val="26"/>
        </w:rPr>
        <w:t xml:space="preserve">до 01 червня 2026 року. Додаткова угода набирає чинності з 01 червня 2021 року.»; </w:t>
      </w:r>
      <w:r/>
    </w:p>
    <w:p>
      <w:pPr>
        <w:pStyle w:val="568"/>
        <w:numPr>
          <w:ilvl w:val="0"/>
          <w:numId w:val="4"/>
        </w:num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Пункт 1.1. викласти в наступній редакції: «1.1.Орендодавець передає, а Орендар приймає в строкове платне користування цілісний майновий комплекс – споруд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а обладнання на них комунального водопостачання та водовідведення (надалі - майно), загальною вартістю 8001481,47 грн. (вісім мільйонів одна тисяча чотириста вісімдесят одна гривня грн.,47 коп.), відповідно до Звіту про оцінку майна від 01 серпня 2020 р.».</w:t>
      </w:r>
      <w:r/>
    </w:p>
    <w:p>
      <w:pPr>
        <w:pStyle w:val="568"/>
        <w:numPr>
          <w:ilvl w:val="0"/>
          <w:numId w:val="4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Всі інші умови Договору залишаються незмінними.</w:t>
      </w:r>
      <w:r/>
    </w:p>
    <w:p>
      <w:pPr>
        <w:pStyle w:val="568"/>
        <w:numPr>
          <w:ilvl w:val="0"/>
          <w:numId w:val="4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Дана додаткова угода є невід’ємною частиною Договору, складена українською мовою в 2-х аутентичних примірниках, що мають однакову юридичну силу.</w:t>
      </w:r>
      <w:r/>
    </w:p>
    <w:p>
      <w:pPr>
        <w:pStyle w:val="568"/>
        <w:numPr>
          <w:ilvl w:val="0"/>
          <w:numId w:val="4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Юридичні адреси, реквізити Сторін та підписи:</w:t>
      </w:r>
      <w:r/>
    </w:p>
    <w:tbl>
      <w:tblPr>
        <w:tblStyle w:val="574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«Орендодавець»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Менська міська рада Менського району Чернігівської області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15600,  м. Мена,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вул. Титаренка Сергія, 7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  <w:pBdr>
                <w:top w:val="single" w:sz="12" w:space="1" w:color="auto"/>
                <w:bottom w:val="single" w:sz="12" w:space="1" w:color="auto"/>
              </w:pBd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Міський голова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___________________Г.А. Примаков                                           </w:t>
            </w:r>
            <w:r/>
          </w:p>
        </w:tc>
        <w:tc>
          <w:tcPr>
            <w:tcW w:w="4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«Орендар»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 «Менський комунальник»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15600, м. Мена, вул. Чехова, 35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  <w:pBdr>
                <w:bottom w:val="single" w:sz="12" w:space="1" w:color="auto"/>
              </w:pBd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  <w:pBdr>
                <w:top w:val="single" w:sz="12" w:space="1" w:color="auto"/>
                <w:bottom w:val="single" w:sz="12" w:space="1" w:color="auto"/>
              </w:pBd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______________________В.Ю. Зима</w:t>
            </w:r>
            <w:r/>
          </w:p>
        </w:tc>
      </w:tr>
    </w:tbl>
    <w:p>
      <w:pPr>
        <w:spacing w:lineRule="auto" w:line="240" w:after="0"/>
        <w:tabs>
          <w:tab w:val="left" w:pos="6663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4"/>
    <w:next w:val="564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5"/>
    <w:link w:val="413"/>
    <w:uiPriority w:val="10"/>
    <w:rPr>
      <w:sz w:val="48"/>
      <w:szCs w:val="48"/>
    </w:rPr>
  </w:style>
  <w:style w:type="paragraph" w:styleId="415">
    <w:name w:val="Subtitle"/>
    <w:basedOn w:val="564"/>
    <w:next w:val="564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5"/>
    <w:link w:val="415"/>
    <w:uiPriority w:val="11"/>
    <w:rPr>
      <w:sz w:val="24"/>
      <w:szCs w:val="24"/>
    </w:rPr>
  </w:style>
  <w:style w:type="paragraph" w:styleId="417">
    <w:name w:val="Quote"/>
    <w:basedOn w:val="564"/>
    <w:next w:val="564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4"/>
    <w:next w:val="564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4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5"/>
    <w:link w:val="421"/>
    <w:uiPriority w:val="99"/>
  </w:style>
  <w:style w:type="paragraph" w:styleId="423">
    <w:name w:val="Footer"/>
    <w:basedOn w:val="564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5"/>
    <w:link w:val="423"/>
    <w:uiPriority w:val="99"/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List Paragraph"/>
    <w:basedOn w:val="564"/>
    <w:qFormat/>
    <w:uiPriority w:val="34"/>
    <w:pPr>
      <w:contextualSpacing w:val="true"/>
      <w:ind w:left="720"/>
    </w:pPr>
  </w:style>
  <w:style w:type="paragraph" w:styleId="569">
    <w:name w:val="Balloon Text"/>
    <w:basedOn w:val="564"/>
    <w:link w:val="57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0" w:customStyle="1">
    <w:name w:val="Текст выноски Знак"/>
    <w:basedOn w:val="565"/>
    <w:link w:val="569"/>
    <w:uiPriority w:val="99"/>
    <w:semiHidden/>
    <w:rPr>
      <w:rFonts w:ascii="Segoe UI" w:hAnsi="Segoe UI" w:cs="Segoe UI"/>
      <w:sz w:val="18"/>
      <w:szCs w:val="18"/>
    </w:rPr>
  </w:style>
  <w:style w:type="character" w:styleId="571" w:customStyle="1">
    <w:name w:val="rvts23"/>
    <w:basedOn w:val="565"/>
  </w:style>
  <w:style w:type="character" w:styleId="572" w:customStyle="1">
    <w:name w:val="rvts9"/>
    <w:basedOn w:val="565"/>
  </w:style>
  <w:style w:type="character" w:styleId="573">
    <w:name w:val="Strong"/>
    <w:basedOn w:val="565"/>
    <w:qFormat/>
    <w:uiPriority w:val="22"/>
    <w:rPr>
      <w:b/>
      <w:bCs/>
    </w:rPr>
  </w:style>
  <w:style w:type="table" w:styleId="574">
    <w:name w:val="Table Grid"/>
    <w:basedOn w:val="56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45</cp:revision>
  <dcterms:created xsi:type="dcterms:W3CDTF">2020-08-19T11:08:00Z</dcterms:created>
  <dcterms:modified xsi:type="dcterms:W3CDTF">2020-08-31T16:00:05Z</dcterms:modified>
</cp:coreProperties>
</file>