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lang w:val="uk-UA" w:bidi="ar-SA" w:eastAsia="uk-UA"/>
        </w:rPr>
      </w:r>
      <w:r>
        <w:rPr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>
        <w:rPr>
          <w:sz w:val="28"/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РАДА</w:t>
      </w:r>
      <w:r>
        <w:rPr>
          <w:sz w:val="28"/>
          <w:lang w:val="uk-UA"/>
        </w:rPr>
      </w:r>
    </w:p>
    <w:p>
      <w:pPr>
        <w:pStyle w:val="5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sz w:val="28"/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перша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>
        <w:rPr>
          <w:sz w:val="28"/>
          <w:lang w:val="uk-UA"/>
        </w:rPr>
      </w:r>
    </w:p>
    <w:p>
      <w:pPr>
        <w:pStyle w:val="58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sz w:val="28"/>
          <w:lang w:val="uk-UA"/>
        </w:rPr>
      </w:r>
    </w:p>
    <w:p>
      <w:pPr>
        <w:ind w:firstLine="0"/>
        <w:tabs>
          <w:tab w:val="center" w:pos="467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04 серпня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357</w:t>
      </w:r>
      <w:r>
        <w:rPr>
          <w:sz w:val="28"/>
          <w:lang w:val="uk-UA"/>
        </w:rPr>
      </w:r>
    </w:p>
    <w:p>
      <w:pPr>
        <w:ind w:left="0" w:right="5103" w:firstLine="0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дозволу на розроблення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Осьмаківського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оріє</w:t>
      </w:r>
      <w:r>
        <w:rPr>
          <w:rFonts w:ascii="Times New Roman" w:hAnsi="Times New Roman"/>
          <w:sz w:val="28"/>
          <w:szCs w:val="28"/>
          <w:lang w:val="uk-UA"/>
        </w:rPr>
        <w:t xml:space="preserve">нтовною площею 2,00 га кожному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</w:t>
      </w:r>
      <w:r>
        <w:rPr>
          <w:rFonts w:ascii="Times New Roman" w:hAnsi="Times New Roman"/>
          <w:sz w:val="28"/>
          <w:szCs w:val="28"/>
          <w:lang w:val="uk-UA"/>
        </w:rPr>
        <w:t xml:space="preserve">, 134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п.21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szCs w:val="20"/>
          <w:lang w:val="uk-UA"/>
        </w:rPr>
      </w:r>
      <w:r>
        <w:rPr>
          <w:lang w:val="uk-UA"/>
        </w:rPr>
      </w:r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данні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  <w:lang w:val="uk-UA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Лук’яненку Станіславу Іванович,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включена до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право колективної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серії </w:t>
      </w:r>
      <w:r>
        <w:rPr>
          <w:rFonts w:ascii="Times New Roman" w:hAnsi="Times New Roman"/>
          <w:sz w:val="28"/>
          <w:szCs w:val="28"/>
          <w:lang w:val="uk-UA"/>
        </w:rPr>
        <w:t xml:space="preserve">ЧН 0036 від 18.11.1995 року</w:t>
      </w:r>
      <w:r>
        <w:rPr>
          <w:rFonts w:ascii="Times New Roman" w:hAnsi="Times New Roman"/>
          <w:sz w:val="28"/>
          <w:szCs w:val="28"/>
          <w:lang w:val="uk-UA"/>
        </w:rPr>
        <w:t xml:space="preserve">, який на даний час</w:t>
      </w:r>
      <w:r>
        <w:rPr>
          <w:rFonts w:ascii="Times New Roman" w:hAnsi="Times New Roman"/>
          <w:sz w:val="28"/>
          <w:szCs w:val="28"/>
          <w:lang w:val="uk-UA"/>
        </w:rPr>
        <w:t xml:space="preserve">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за відомостями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отриманими від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у Менському районі Головного управління Держгеокадастру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ділянка підлягає інвентаризації </w:t>
      </w:r>
      <w:r>
        <w:rPr>
          <w:rFonts w:ascii="Times New Roman" w:hAnsi="Times New Roman"/>
          <w:sz w:val="28"/>
          <w:szCs w:val="28"/>
          <w:lang w:val="uk-UA"/>
        </w:rPr>
        <w:t xml:space="preserve">та реєстра</w:t>
      </w:r>
      <w:r>
        <w:rPr>
          <w:rFonts w:ascii="Times New Roman" w:hAnsi="Times New Roman"/>
          <w:sz w:val="28"/>
          <w:szCs w:val="28"/>
          <w:lang w:val="uk-UA"/>
        </w:rPr>
        <w:t xml:space="preserve">ції права комунальної власності,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Мартиненко Ірині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Федорченко Аліні Вадимівні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Кокоріній Катерині Романівні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Шарі Марині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Коберник Марині Федорівні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Федорченку</w:t>
      </w:r>
      <w:r>
        <w:rPr>
          <w:rFonts w:ascii="Times New Roman" w:hAnsi="Times New Roman"/>
          <w:sz w:val="28"/>
          <w:szCs w:val="28"/>
          <w:lang w:val="uk-UA"/>
        </w:rPr>
        <w:t xml:space="preserve"> Роману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Козел Володимиру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Мартиненко Марії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Мартиненко Тетяні Адамівні</w:t>
      </w:r>
      <w:r>
        <w:rPr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Мартиненку Володимиру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Мартиненку</w:t>
      </w:r>
      <w:r>
        <w:rPr>
          <w:rFonts w:ascii="Times New Roman" w:hAnsi="Times New Roman"/>
          <w:sz w:val="28"/>
          <w:szCs w:val="28"/>
          <w:lang w:val="uk-UA"/>
        </w:rPr>
        <w:t xml:space="preserve"> Євгену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Скрипці Людмилі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Ірині Федорівні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Інні Олексіївні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Ларисі Олексіївні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Лук’яненку Віктору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Лук’яненку Андрію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Лук’яненку Олександру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Скрипці Федору Дмитровичу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</w:t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0"/>
        <w:jc w:val="both"/>
        <w:tabs>
          <w:tab w:val="left" w:pos="60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22</cp:revision>
  <dcterms:created xsi:type="dcterms:W3CDTF">2020-06-09T13:17:00Z</dcterms:created>
  <dcterms:modified xsi:type="dcterms:W3CDTF">2020-08-05T10:41:56Z</dcterms:modified>
</cp:coreProperties>
</file>