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4825" cy="70485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048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8pt;height:55.5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</w:t>
      </w:r>
      <w:r>
        <w:rPr>
          <w:rFonts w:ascii="Times New Roman" w:hAnsi="Times New Roman"/>
          <w:b/>
          <w:sz w:val="26"/>
          <w:szCs w:val="26"/>
        </w:rPr>
        <w:t xml:space="preserve">сорок перша </w:t>
      </w:r>
      <w:r>
        <w:rPr>
          <w:rFonts w:ascii="Times New Roman" w:hAnsi="Times New Roman"/>
          <w:b/>
          <w:sz w:val="26"/>
          <w:szCs w:val="26"/>
        </w:rPr>
        <w:t xml:space="preserve">сесія сьомого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РІШЕННЯ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ind w:firstLine="45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 2020 року</w:t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виявлення, обстеження водопровідних,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каналізаційних (мереж водовідведення),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місцевих (розподільчих) теплових мереж, зливової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(дощової) каналізації, об’єктів зовнішнього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освітлення та інженерних мереж – електроустановок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(трансформаторних підстанцій, повітряних ліній,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кабельних ліній)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їх облік та прийняття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комунальної власності </w:t>
      </w:r>
      <w:r>
        <w:rPr>
          <w:rFonts w:ascii="Times New Roman" w:hAnsi="Times New Roman"/>
          <w:sz w:val="26"/>
          <w:szCs w:val="26"/>
        </w:rPr>
        <w:t xml:space="preserve">Менської міської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об’єднаної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територіальної  громади </w:t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ind w:firstLine="70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метою недопущення невизначеності із суб’єктом  права власності  на майно</w:t>
      </w:r>
      <w:r>
        <w:rPr>
          <w:rFonts w:ascii="Times New Roman" w:hAnsi="Times New Roman"/>
          <w:sz w:val="26"/>
          <w:szCs w:val="26"/>
          <w:lang w:val="uk-UA"/>
        </w:rPr>
        <w:t xml:space="preserve"> на території Менської міської об’єднаної </w:t>
      </w:r>
      <w:r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, що виключає його належне використання, унеможливлює розпорядження ним територіальною громадою для суспільних потреб</w:t>
      </w:r>
      <w:r>
        <w:rPr>
          <w:rFonts w:ascii="Times New Roman" w:hAnsi="Times New Roman"/>
          <w:sz w:val="26"/>
          <w:szCs w:val="26"/>
          <w:lang w:val="uk-UA"/>
        </w:rPr>
        <w:t xml:space="preserve">, відповідно до ст.25 ч.2, ч.5 ч.9 ст.60 Закону України «Про місцеве самоврядування в Україні», міська рада вирішила:</w:t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/>
    </w:p>
    <w:p>
      <w:pPr>
        <w:pStyle w:val="565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Затвердити Положення про виявлення, обстеження водопровідних, каналізаційних (мереж водопостачання),</w:t>
      </w:r>
      <w:r>
        <w:rPr>
          <w:rFonts w:ascii="Times New Roman" w:hAnsi="Times New Roman"/>
          <w:sz w:val="26"/>
          <w:szCs w:val="26"/>
          <w:lang w:val="uk-UA"/>
        </w:rPr>
        <w:t xml:space="preserve">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</w:t>
      </w:r>
      <w:r>
        <w:rPr>
          <w:rFonts w:ascii="Times New Roman" w:hAnsi="Times New Roman"/>
          <w:sz w:val="26"/>
          <w:szCs w:val="26"/>
          <w:lang w:val="uk-UA"/>
        </w:rPr>
        <w:t xml:space="preserve"> Менської міської об’єднаної </w:t>
      </w:r>
      <w:r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 (Додаток № 1)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/>
    </w:p>
    <w:p>
      <w:pPr>
        <w:pStyle w:val="56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заступника міського голови з питань діяльності виконкому міської ради Гайдукевича М.В.</w:t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/>
    </w:p>
    <w:p>
      <w:pPr>
        <w:pStyle w:val="56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 голова                                                                            Г.А.Примаков</w:t>
      </w:r>
      <w:r/>
    </w:p>
    <w:p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p>
      <w:pPr>
        <w:spacing w:lineRule="auto" w:line="240" w:after="0"/>
        <w:rPr>
          <w:lang w:val="ru-RU"/>
        </w:rPr>
      </w:pPr>
      <w:r>
        <w:rPr>
          <w:lang w:val="ru-RU"/>
        </w:rPr>
        <w:br w:type="page"/>
      </w:r>
      <w:r/>
    </w:p>
    <w:p>
      <w:pPr>
        <w:jc w:val="right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Додаток № 1до рішення </w:t>
      </w:r>
      <w:r>
        <w:rPr>
          <w:rFonts w:ascii="Times New Roman" w:hAnsi="Times New Roman"/>
          <w:sz w:val="18"/>
          <w:szCs w:val="18"/>
        </w:rPr>
        <w:t xml:space="preserve">сорок першої </w:t>
      </w:r>
      <w:r>
        <w:rPr>
          <w:rFonts w:ascii="Times New Roman" w:hAnsi="Times New Roman"/>
          <w:sz w:val="18"/>
          <w:szCs w:val="18"/>
        </w:rPr>
        <w:t xml:space="preserve">сесії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сьомого  скликання Менської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міської ради від __________ 2020 року</w:t>
      </w:r>
      <w:r>
        <w:rPr>
          <w:rFonts w:ascii="Times New Roman" w:hAnsi="Times New Roman"/>
          <w:sz w:val="18"/>
          <w:szCs w:val="18"/>
        </w:rPr>
        <w:t xml:space="preserve"> №______</w:t>
      </w:r>
      <w:r/>
    </w:p>
    <w:p>
      <w:pPr>
        <w:pStyle w:val="565"/>
        <w:ind w:firstLine="5245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«Про затвердження Положення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 виявлення, обстеження водопровідних,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каналізаційних (мереж водовідведення),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місцевих (розподільчих) теплових мереж, зливової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(дощової) каналізації, об’єктів зовнішнього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освітлення та інженерних мереж – електроустановок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(трансформаторних підстанцій, повітряних ліній,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кабельних ліній) їх облік та прийняття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 комунальної власності Менської міської </w:t>
      </w:r>
      <w:r/>
    </w:p>
    <w:p>
      <w:pPr>
        <w:ind w:firstLine="5245"/>
        <w:spacing w:lineRule="auto" w:lin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об’єднаної  територіальної  громади»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ПОЛОЖЕННЯ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</w:rPr>
        <w:t xml:space="preserve">виявлення, обстеження водопровідних, каналізаційних (мереж водовідведення), </w:t>
      </w:r>
      <w:r>
        <w:rPr>
          <w:rFonts w:ascii="Times New Roman" w:hAnsi="Times New Roman"/>
          <w:b/>
          <w:sz w:val="24"/>
          <w:szCs w:val="24"/>
        </w:rPr>
        <w:t xml:space="preserve">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/>
          <w:b/>
          <w:sz w:val="24"/>
          <w:szCs w:val="24"/>
        </w:rPr>
        <w:t xml:space="preserve">Менської міської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об’єднаної  територіальної 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Загальні положення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Положення про виявлення, обстеження водопровідних, каналізаційних (мереж водовідведення), </w:t>
      </w:r>
      <w:r>
        <w:rPr>
          <w:rFonts w:ascii="Times New Roman" w:hAnsi="Times New Roman"/>
          <w:sz w:val="24"/>
          <w:szCs w:val="24"/>
        </w:rPr>
        <w:t xml:space="preserve">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 територіальної  громади </w:t>
      </w:r>
      <w:r>
        <w:rPr>
          <w:rFonts w:ascii="Times New Roman" w:hAnsi="Times New Roman"/>
          <w:sz w:val="24"/>
          <w:szCs w:val="24"/>
        </w:rPr>
        <w:t xml:space="preserve">(далі по тексту - Положення) розроблене відповідно до Цивільного кодексу України, Закону України «Про місцеве самоврядування в Україні», Закону України «Про теплопостачання», Закону України «Про </w:t>
      </w:r>
      <w:r>
        <w:rPr>
          <w:rFonts w:ascii="Times New Roman" w:hAnsi="Times New Roman"/>
          <w:sz w:val="24"/>
          <w:szCs w:val="24"/>
        </w:rPr>
        <w:t xml:space="preserve">житлово</w:t>
      </w:r>
      <w:r>
        <w:rPr>
          <w:rFonts w:ascii="Times New Roman" w:hAnsi="Times New Roman"/>
          <w:sz w:val="24"/>
          <w:szCs w:val="24"/>
        </w:rPr>
        <w:t xml:space="preserve"> – комунальні послуги», </w:t>
      </w:r>
      <w:r>
        <w:rPr>
          <w:rFonts w:ascii="Times New Roman" w:hAnsi="Times New Roman"/>
          <w:sz w:val="24"/>
          <w:szCs w:val="24"/>
        </w:rPr>
        <w:t xml:space="preserve">Кодексу систем розподілу, затвердженого Постановою НКРЕКП 14.03.2018  № 310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Правил технічної експлуатації електроустановок споживачі затверджених наказом Міністерства палива та енергетики України від 25.07.2006 р. №258, Правил користування системами централізованого комунального водопостачання та водовідведення в насел</w:t>
      </w:r>
      <w:r>
        <w:rPr>
          <w:rFonts w:ascii="Times New Roman" w:hAnsi="Times New Roman"/>
          <w:sz w:val="24"/>
          <w:szCs w:val="24"/>
        </w:rPr>
        <w:t xml:space="preserve">ених пунктах України, затверджених наказом Міністерства з питань житлово-комунального господарства України від 27.06.2008 р. №190, Державних санітарних норм та правил утримання територій населених місць, затверджених наказом Міністерства охорони здоров’я У</w:t>
      </w:r>
      <w:r>
        <w:rPr>
          <w:rFonts w:ascii="Times New Roman" w:hAnsi="Times New Roman"/>
          <w:sz w:val="24"/>
          <w:szCs w:val="24"/>
        </w:rPr>
        <w:t xml:space="preserve">країни від 17.03.2011 р. №145,</w:t>
      </w:r>
      <w:r>
        <w:rPr>
          <w:rFonts w:ascii="Times New Roman" w:hAnsi="Times New Roman"/>
          <w:sz w:val="24"/>
          <w:szCs w:val="24"/>
        </w:rPr>
        <w:t xml:space="preserve"> з метою врегулювання відносин щодо виявлення, взяття на облік та прийняття до комунальної власності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 територіальної  громади</w:t>
      </w:r>
      <w:r>
        <w:rPr>
          <w:rFonts w:ascii="Times New Roman" w:hAnsi="Times New Roman"/>
          <w:sz w:val="24"/>
          <w:szCs w:val="24"/>
        </w:rPr>
        <w:t xml:space="preserve"> водопровідних, каналізаційних (мереж водовідведення), місцевих (розподільчих) теплових мереж, об’єктів зовнішнього освітлення та інженерних мереж – електроустановок (трансформаторних підстанцій, повітряних ліній, кабельних ліній) 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1.2. У цьому </w:t>
      </w:r>
      <w:r>
        <w:rPr>
          <w:rFonts w:ascii="Times New Roman" w:hAnsi="Times New Roman"/>
          <w:sz w:val="24"/>
          <w:szCs w:val="24"/>
        </w:rPr>
        <w:t xml:space="preserve">Положенні наведені нижче терміни вживаються в такому значенні: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безхазяйні водопровідні, канал</w:t>
      </w:r>
      <w:r>
        <w:rPr>
          <w:rFonts w:ascii="Times New Roman" w:hAnsi="Times New Roman"/>
          <w:sz w:val="24"/>
          <w:szCs w:val="24"/>
        </w:rPr>
        <w:t xml:space="preserve">ізаційні (мережі водовідведення), безхазяйні місцеві (розподільчі) теплові мережі та інженерні мережі – електроустановки (трансформаторні підстанції, повітряні лінії, кабельні лінії) – це мережі та об’єкти, які не мають власника або власник яких невідомий;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firstLine="284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/>
          <w:sz w:val="24"/>
          <w:szCs w:val="24"/>
        </w:rPr>
        <w:t xml:space="preserve">виконавець комунальної послуги - суб’єкт господарювання, що надає комунальну послугу споживачу відповідно до умов договору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/>
          <w:sz w:val="24"/>
          <w:szCs w:val="24"/>
        </w:rPr>
      </w:pPr>
      <w:r>
        <w:rPr>
          <w:rStyle w:val="566"/>
          <w:rFonts w:ascii="Times New Roman" w:hAnsi="Times New Roman"/>
          <w:sz w:val="24"/>
          <w:szCs w:val="24"/>
        </w:rPr>
        <w:t xml:space="preserve">     виконавець робіт з утримання об’єктів зовнішнього</w:t>
      </w:r>
      <w:r>
        <w:rPr>
          <w:rStyle w:val="566"/>
          <w:rFonts w:ascii="Times New Roman" w:hAnsi="Times New Roman"/>
          <w:sz w:val="24"/>
          <w:szCs w:val="24"/>
        </w:rPr>
        <w:t xml:space="preserve"> освітлення – організація, підприємство або установа незалежно від форми власності, що виконує роботи з утримання об’єктів зовнішнього освітлення, має відповідне устаткування та обладнання, і здійснює свою діяльність згідно з чинним законодавством України;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    електропередавальна організація - суб'єкт господарювання, який отримав ліцензію НКРЕ на право здійснення п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ідприємницької діяльності з передачі електричної енергії магістральними та міждержавними електричними мережами або місцевими (локальними) електричними мережами, а також суб'єкт господарювання, який отримав ліцензію НКРЕ на право здійснення підприємницької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діяльності з передачі електричної енергії місцевими (локальними) електромережами та ліцензію НКРЕ на право здійснення підприємницької діяльності з постачання електричної енергії за регульованим тарифом, що здійснює свою діяльність на закріпленій території;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ab/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водопровідна мережа - система трубопроводів, відповідних споруд та устаткування для розподілу і подачі питної води споживачам;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каналізаційна мережа (мережа водовідведення) – система трубопроводів, колекторів, каналів, лотків водовідведення з відповідними спорудами і устаткуванням на них, які призначені для збирання та відведення стічних вод;</w:t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ind w:right="-1" w:firstLine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місцеві (розп</w:t>
      </w:r>
      <w:r>
        <w:rPr>
          <w:rFonts w:ascii="Times New Roman" w:hAnsi="Times New Roman"/>
          <w:sz w:val="24"/>
          <w:szCs w:val="24"/>
        </w:rPr>
        <w:t xml:space="preserve">одільчі) теплові мережі -  сукупність енергетичних установок, обладнання і трубопроводів, яка забезпечує транспортування теплоносія від джерела теплової енергії, центрального теплового пункту або магістральної теплової мережі до теплового вводу споживача; </w:t>
      </w:r>
      <w:r/>
    </w:p>
    <w:p>
      <w:pPr>
        <w:ind w:right="-1" w:firstLine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1" w:firstLine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об’єкти зовнішнього освітлення – електричне та допоміжне обладнання і електромережі (у тому числі лінії електропе</w:t>
      </w:r>
      <w:r>
        <w:rPr>
          <w:rFonts w:ascii="Times New Roman" w:hAnsi="Times New Roman"/>
          <w:sz w:val="24"/>
          <w:szCs w:val="24"/>
        </w:rPr>
        <w:t xml:space="preserve">редач напругою до 1000 В, апаратура диспетчерського зв’язку, автоматика та телемеханіка), що забезпечують належне функціонування згідно з державними стандартами, технічними умовами та нормами вуличного, об’єктного та архітектурно-декоративного освітлення; </w:t>
      </w:r>
      <w:r/>
    </w:p>
    <w:p>
      <w:pPr>
        <w:ind w:right="-1" w:firstLine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1" w:firstLine="360"/>
        <w:jc w:val="both"/>
        <w:spacing w:lineRule="auto" w:line="240" w:after="0"/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електроустановка -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комплекс взаємопов'язаних устаткування і споруд, що призначаються для виробництва або перетворення, передачі, розподілу чи споживання електричної енергії;</w:t>
      </w:r>
      <w:r/>
    </w:p>
    <w:p>
      <w:pPr>
        <w:ind w:right="-1" w:firstLine="360"/>
        <w:jc w:val="both"/>
        <w:spacing w:lineRule="auto" w:line="240" w:after="0"/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right="-1" w:firstLine="360"/>
        <w:jc w:val="both"/>
        <w:spacing w:lineRule="auto" w:line="240" w:after="0"/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електрична підстанція - електроустановка, призначена для приймання, перетворення й розподілу електричної енергії;</w:t>
      </w:r>
      <w:r/>
    </w:p>
    <w:p>
      <w:pPr>
        <w:ind w:right="-1" w:firstLine="360"/>
        <w:jc w:val="both"/>
        <w:spacing w:lineRule="auto" w:line="240" w:after="0"/>
        <w:rPr>
          <w:rStyle w:val="56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right="-1" w:firstLine="36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зливова (дощова) каналізація – елемент благоустрою населених пунктів, який призначений для відведення стічних вод, що утворилися на забудованій території внаслідок випадання атмосферних опадів;  </w:t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уповноважений орган –</w:t>
      </w:r>
      <w:r>
        <w:rPr>
          <w:rFonts w:ascii="Times New Roman" w:hAnsi="Times New Roman"/>
          <w:sz w:val="24"/>
          <w:szCs w:val="24"/>
        </w:rPr>
        <w:t xml:space="preserve">– Менська міська рада</w:t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Дія Положення поширюється на водопровідні, каналізаційні (мережі водовідведення), місцеві (розподільчі) теплові мережі, зливову (дощову) каналізацію, об’єкти зовнішнього освітлення та інженерні мережі – електроустановки (т</w:t>
      </w:r>
      <w:r>
        <w:rPr>
          <w:rFonts w:ascii="Times New Roman" w:hAnsi="Times New Roman"/>
          <w:sz w:val="24"/>
          <w:szCs w:val="24"/>
        </w:rPr>
        <w:t xml:space="preserve">рансформаторні підстанції, повітряні лінії, кабельні лінії), які є безхазяйними або які належать на праві приватної власності фізичним особам, фізичним особам-підприємцям або юридичним особам та безпосередньо приєднані до комунальних централізованих систем</w:t>
      </w:r>
      <w:r>
        <w:rPr>
          <w:rFonts w:ascii="Times New Roman" w:hAnsi="Times New Roman"/>
          <w:sz w:val="24"/>
          <w:szCs w:val="24"/>
        </w:rPr>
        <w:t xml:space="preserve"> на 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, відносно яких власник звернувся до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про безоплатне їх прийняття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1.3. Органом, уповноваженим здійснювати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виявлення (встановлення факту) наявності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</w:t>
      </w:r>
      <w:r>
        <w:rPr>
          <w:rFonts w:ascii="Times New Roman" w:hAnsi="Times New Roman"/>
          <w:sz w:val="24"/>
          <w:szCs w:val="24"/>
        </w:rPr>
        <w:t xml:space="preserve"> (трансформаторних підстанцій, повітряних ліній, кабельних ліній), ведення їх обліку, проведення незалежної оцінки, а також здійснення заходів по підготовці проектів рішень щодо прийняття в комунальну власність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мереж, зливов</w:t>
      </w:r>
      <w:r>
        <w:rPr>
          <w:rFonts w:ascii="Times New Roman" w:hAnsi="Times New Roman"/>
          <w:sz w:val="24"/>
          <w:szCs w:val="24"/>
        </w:rPr>
        <w:t xml:space="preserve">ої</w:t>
      </w:r>
      <w:r>
        <w:rPr>
          <w:rFonts w:ascii="Times New Roman" w:hAnsi="Times New Roman"/>
          <w:sz w:val="24"/>
          <w:szCs w:val="24"/>
        </w:rPr>
        <w:t xml:space="preserve"> (дощов</w:t>
      </w:r>
      <w:r>
        <w:rPr>
          <w:rFonts w:ascii="Times New Roman" w:hAnsi="Times New Roman"/>
          <w:sz w:val="24"/>
          <w:szCs w:val="24"/>
        </w:rPr>
        <w:t xml:space="preserve">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ліній), виявлених в межах території </w:t>
      </w:r>
      <w:r>
        <w:rPr>
          <w:rFonts w:ascii="Times New Roman" w:hAnsi="Times New Roman"/>
          <w:sz w:val="24"/>
          <w:szCs w:val="24"/>
        </w:rPr>
        <w:t xml:space="preserve">Менської  міської об’єднаної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, а також об</w:t>
      </w:r>
      <w:r>
        <w:rPr>
          <w:rFonts w:ascii="Times New Roman" w:hAnsi="Times New Roman"/>
          <w:sz w:val="24"/>
          <w:szCs w:val="24"/>
        </w:rPr>
        <w:t xml:space="preserve">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, відносно яких власник звернувся до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про безоплатне їх прийняття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 міської об’єднаної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, є </w:t>
      </w:r>
      <w:r>
        <w:rPr>
          <w:rFonts w:ascii="Times New Roman" w:hAnsi="Times New Roman"/>
          <w:sz w:val="24"/>
          <w:szCs w:val="24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</w:rPr>
        <w:t xml:space="preserve"> (надалі – Уповноважений орган).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Виявлення безхазяйних водоп</w:t>
      </w:r>
      <w:r>
        <w:rPr>
          <w:rFonts w:ascii="Times New Roman" w:hAnsi="Times New Roman"/>
          <w:b/>
          <w:sz w:val="24"/>
          <w:szCs w:val="24"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Підприємства, установи, організації, заклади, незалежно від форми власності, </w:t>
      </w:r>
      <w:r>
        <w:rPr>
          <w:rFonts w:ascii="Times New Roman" w:hAnsi="Times New Roman"/>
          <w:sz w:val="24"/>
          <w:szCs w:val="24"/>
        </w:rPr>
        <w:t xml:space="preserve">виконавці комунальної послуги</w:t>
      </w:r>
      <w:r>
        <w:rPr>
          <w:rFonts w:ascii="Times New Roman" w:hAnsi="Times New Roman"/>
          <w:sz w:val="24"/>
          <w:szCs w:val="24"/>
        </w:rPr>
        <w:t xml:space="preserve">, виконавці робіт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з утримання об’єктів зовнішнього освітлення,</w:t>
      </w:r>
      <w:r>
        <w:rPr>
          <w:rFonts w:ascii="Times New Roman" w:hAnsi="Times New Roman"/>
          <w:sz w:val="24"/>
          <w:szCs w:val="24"/>
        </w:rPr>
        <w:t xml:space="preserve"> громадяни (фізичні особи) та посадові особи органів місцевого само</w:t>
      </w:r>
      <w:r>
        <w:rPr>
          <w:rFonts w:ascii="Times New Roman" w:hAnsi="Times New Roman"/>
          <w:sz w:val="24"/>
          <w:szCs w:val="24"/>
        </w:rPr>
        <w:t xml:space="preserve">врядування, яким стало відомо про водопровідні, каналізаційні (мережі водовідведення), місцеві (розподільчі) теплові мережі, зливову (дощову) каналізацію, об’єкти зовнішнього освітлення та інженерні мережі – електроустановки (трансформаторні підстанції, по</w:t>
      </w:r>
      <w:r>
        <w:rPr>
          <w:rFonts w:ascii="Times New Roman" w:hAnsi="Times New Roman"/>
          <w:sz w:val="24"/>
          <w:szCs w:val="24"/>
        </w:rPr>
        <w:t xml:space="preserve">вітряні лінії, кабельні лінії),  що не мають власника або власник яких невідомий, повідомляють про такі факти Уповноважений орган із зазначенням відомих для них даних про такі об’єкти: адреса (місцезнаходження)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ї,</w:t>
      </w:r>
      <w:r>
        <w:rPr>
          <w:rFonts w:ascii="Times New Roman" w:hAnsi="Times New Roman"/>
          <w:sz w:val="24"/>
          <w:szCs w:val="24"/>
        </w:rPr>
        <w:t xml:space="preserve"> та інженерних мереж – електроустановок (трансформаторних підстанцій, повітряних ліній, кабельних ліній), технічні характеристики (у разі наявності такої інформації), інші суттєві відомості, які стали відомими для них.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Після одержання повідомлення про наявність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та інженерних мереж – електроустановок (трансформаторних підстанцій, повітряних ліній, кабельних ліній), Уповноважений орган з метою </w:t>
      </w:r>
      <w:r>
        <w:rPr>
          <w:rFonts w:ascii="Times New Roman" w:hAnsi="Times New Roman"/>
          <w:spacing w:val="-1"/>
          <w:sz w:val="24"/>
          <w:szCs w:val="24"/>
        </w:rPr>
        <w:t xml:space="preserve">з'ясування наявності оформленого права власності або права користування на </w:t>
      </w:r>
      <w:r>
        <w:rPr>
          <w:rFonts w:ascii="Times New Roman" w:hAnsi="Times New Roman"/>
          <w:sz w:val="24"/>
          <w:szCs w:val="24"/>
        </w:rPr>
        <w:t xml:space="preserve">земельну ділянку, в межах якої виявлені безхазяйні об’єкти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(мережі водовідведення), місцеві (розподільчі) теплові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мережі, зливова (дощова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інженерні мережі – електроустановки (трансформаторні підстанції, повітряні лінії, кабельні лінії), направляє запит до </w:t>
      </w:r>
      <w:r>
        <w:rPr>
          <w:rFonts w:ascii="Times New Roman" w:hAnsi="Times New Roman"/>
          <w:bCs/>
          <w:sz w:val="24"/>
          <w:szCs w:val="24"/>
        </w:rPr>
        <w:t xml:space="preserve">відділу </w:t>
      </w:r>
      <w:r>
        <w:rPr>
          <w:rFonts w:ascii="Times New Roman" w:hAnsi="Times New Roman"/>
          <w:bCs/>
          <w:sz w:val="24"/>
          <w:szCs w:val="24"/>
        </w:rPr>
        <w:t xml:space="preserve">у Менському районі Головного управління </w:t>
      </w:r>
      <w:r>
        <w:rPr>
          <w:rFonts w:ascii="Times New Roman" w:hAnsi="Times New Roman"/>
          <w:bCs/>
          <w:sz w:val="24"/>
          <w:szCs w:val="24"/>
        </w:rPr>
        <w:t xml:space="preserve">Держгеокадастру</w:t>
      </w:r>
      <w:r>
        <w:rPr>
          <w:rFonts w:ascii="Times New Roman" w:hAnsi="Times New Roman"/>
          <w:bCs/>
          <w:sz w:val="24"/>
          <w:szCs w:val="24"/>
        </w:rPr>
        <w:t xml:space="preserve"> у Чернігівській області</w:t>
      </w:r>
      <w:r>
        <w:rPr>
          <w:rFonts w:ascii="Times New Roman" w:hAnsi="Times New Roman"/>
          <w:bCs/>
          <w:sz w:val="24"/>
          <w:szCs w:val="24"/>
        </w:rPr>
        <w:t xml:space="preserve">/</w:t>
      </w:r>
      <w:r>
        <w:rPr>
          <w:rFonts w:ascii="Times New Roman" w:hAnsi="Times New Roman"/>
          <w:bCs/>
          <w:sz w:val="24"/>
          <w:szCs w:val="24"/>
        </w:rPr>
        <w:t xml:space="preserve">земельного відділу Менської міської ради</w:t>
      </w:r>
      <w:r>
        <w:rPr>
          <w:rFonts w:ascii="Times New Roman" w:hAnsi="Times New Roman"/>
          <w:bCs/>
          <w:sz w:val="24"/>
          <w:szCs w:val="24"/>
        </w:rPr>
        <w:t xml:space="preserve">/</w:t>
      </w:r>
      <w:r>
        <w:rPr>
          <w:rFonts w:ascii="Times New Roman" w:hAnsi="Times New Roman"/>
          <w:bCs/>
          <w:sz w:val="24"/>
          <w:szCs w:val="24"/>
        </w:rPr>
        <w:t xml:space="preserve">відділу реєстрації Менської міської ради,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 також з метою встановлення наявності </w:t>
      </w:r>
      <w:r>
        <w:rPr>
          <w:rFonts w:ascii="Times New Roman" w:hAnsi="Times New Roman"/>
          <w:sz w:val="24"/>
          <w:szCs w:val="24"/>
        </w:rPr>
        <w:t xml:space="preserve">технічної документації 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балансоутримувача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вказані об’єкти та/або мережі суміжних власників направляє запит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виконавцю робіт з утримання об’єктів зовнішнього освітлення або електропередавальній організації, робить опитування власників суміжних мереж.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У ході здійснення підготовчих заходів за </w:t>
      </w:r>
      <w:r>
        <w:rPr>
          <w:rFonts w:ascii="Times New Roman" w:hAnsi="Times New Roman"/>
          <w:sz w:val="24"/>
          <w:szCs w:val="24"/>
        </w:rPr>
        <w:t xml:space="preserve">розпорядженням міського голови Менської</w:t>
      </w:r>
      <w:r>
        <w:rPr>
          <w:rFonts w:ascii="Times New Roman" w:hAnsi="Times New Roman"/>
          <w:sz w:val="24"/>
          <w:szCs w:val="24"/>
        </w:rPr>
        <w:t xml:space="preserve"> міської ради створюється комісія, яка організовує комісійне обстеження виявлених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ліній), у процесі якого вирішуються наступні питання: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технічні характеристики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(діаметр, довжина, матеріал трубопроводу), їх технічний стан;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можливість експлуатації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пропозиції щодо подальшого використання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інженерних мереж – електроустановок (трансформаторних підстанцій, повітряних ліній, кабельних ліній);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інші питання.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Обстеження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здійснюється комісією з обов’язковим залученням до її складу представників Уповноваженого органу, </w:t>
      </w:r>
      <w:r>
        <w:rPr>
          <w:rFonts w:ascii="Times New Roman" w:hAnsi="Times New Roman"/>
          <w:sz w:val="24"/>
          <w:szCs w:val="24"/>
        </w:rPr>
        <w:t xml:space="preserve">виконавця комунальної п</w:t>
      </w:r>
      <w:r>
        <w:rPr>
          <w:rFonts w:ascii="Times New Roman" w:hAnsi="Times New Roman"/>
          <w:sz w:val="24"/>
          <w:szCs w:val="24"/>
        </w:rPr>
        <w:t xml:space="preserve">ослуги</w:t>
      </w:r>
      <w:r>
        <w:rPr>
          <w:rFonts w:ascii="Times New Roman" w:hAnsi="Times New Roman"/>
          <w:sz w:val="24"/>
          <w:szCs w:val="24"/>
        </w:rPr>
        <w:t xml:space="preserve">, виконавця робіт з утримання об’єктів зовнішнього освітлення, електропередавальної організації та завершується складанням акта обстеження із зазначенням всіх з’ясованих в ході обстеження даних за формою, встановленою в Додатку № 1 до даного Положення.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Облік безхазяйних водоп</w:t>
      </w:r>
      <w:r>
        <w:rPr>
          <w:rFonts w:ascii="Times New Roman" w:hAnsi="Times New Roman"/>
          <w:b/>
          <w:sz w:val="24"/>
          <w:szCs w:val="24"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Уповноважений орган веде облік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, інженерних мереж – електроустановок (трансформаторних підстанцій, повітряних ліній, кабельних ліній) та розміщує оголошення у місцевих друкованих засобах масової </w:t>
      </w:r>
      <w:r>
        <w:rPr>
          <w:rFonts w:ascii="Times New Roman" w:hAnsi="Times New Roman"/>
          <w:sz w:val="24"/>
          <w:szCs w:val="24"/>
        </w:rPr>
        <w:t xml:space="preserve">інформації</w:t>
      </w:r>
      <w:r>
        <w:rPr>
          <w:rFonts w:ascii="Times New Roman" w:hAnsi="Times New Roman"/>
          <w:sz w:val="24"/>
          <w:szCs w:val="24"/>
        </w:rPr>
        <w:t xml:space="preserve">, де оприлюднюються відомі дані про зазначені об’єкти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Безхазяйні об’єкти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(мережі водовідведення), місцеві (розподільчі) теплові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мережі, зливова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(дощова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інженерні мережі – електроустановки (трансформаторні підстанції, повітряні лінії, кабельні лінії) переходять у власність </w:t>
      </w:r>
      <w:r>
        <w:rPr>
          <w:rFonts w:ascii="Times New Roman" w:hAnsi="Times New Roman"/>
          <w:sz w:val="24"/>
          <w:szCs w:val="24"/>
        </w:rPr>
        <w:t xml:space="preserve">Менської  міської об’єднаної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якщо власника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встановлено, але він письмово відмовився від них;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якщо протягом трьох місяців з дня опублікування оголошення власник виявлених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не буде знайдений;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 рішенням суду.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3.3. Підставою набуття права комунальної власності на безхазяйні об’єкти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(мережі водовідведення), місцеві (розподільчі) теплові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мережі, зливова (дощова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інженерні мережі – електроустановки (трансформаторні підстанції, повітряні лінії, кабельні лінії) є рішення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або рішення судового органу.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використання безхазяйних водопровідних, каналізаційних (мереж вод</w:t>
      </w:r>
      <w:r>
        <w:rPr>
          <w:rFonts w:ascii="Times New Roman" w:hAnsi="Times New Roman"/>
          <w:b/>
          <w:sz w:val="24"/>
          <w:szCs w:val="24"/>
        </w:rPr>
        <w:t xml:space="preserve">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 переданих до комунальної власності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У випадках, коли до закінчення встановленого даним Положенням тримісячного терміну з дня опублікування оголошення про виявлені безхазяйні об’єкти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(мережі водовідведення), місцеві (розподільчі) теплові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мережі, зливова (дощова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інженерні мережі – електроустановки (трансформаторні підстанції, повітряні лінії, кабельні лінії) буде виявлено їх власника, дані об’єкти повертаються власникові після відшкодування ним витрат</w:t>
      </w:r>
      <w:r>
        <w:rPr>
          <w:rFonts w:ascii="Times New Roman" w:hAnsi="Times New Roman"/>
          <w:sz w:val="24"/>
          <w:szCs w:val="24"/>
        </w:rPr>
        <w:t xml:space="preserve"> на ці об’єкти понесених Менською міською радою</w:t>
      </w:r>
      <w:r>
        <w:rPr>
          <w:rFonts w:ascii="Times New Roman" w:hAnsi="Times New Roman"/>
          <w:sz w:val="24"/>
          <w:szCs w:val="24"/>
        </w:rPr>
        <w:t xml:space="preserve">. Повернення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власникові провадиться після проведення Уповноваженим органом відповідної перевірки та підтвердження права власності заявника на це майно. 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</w:t>
      </w:r>
      <w:r>
        <w:rPr>
          <w:rFonts w:ascii="Times New Roman" w:hAnsi="Times New Roman"/>
          <w:sz w:val="24"/>
          <w:szCs w:val="24"/>
        </w:rPr>
        <w:t xml:space="preserve">Менська</w:t>
      </w:r>
      <w:r>
        <w:rPr>
          <w:rFonts w:ascii="Times New Roman" w:hAnsi="Times New Roman"/>
          <w:sz w:val="24"/>
          <w:szCs w:val="24"/>
        </w:rPr>
        <w:t xml:space="preserve"> міська рада відповідно до чинного законодавства здійснює повноваження щодо володіння, користування і розпорядження безхазяйними водопро</w:t>
      </w:r>
      <w:r>
        <w:rPr>
          <w:rFonts w:ascii="Times New Roman" w:hAnsi="Times New Roman"/>
          <w:sz w:val="24"/>
          <w:szCs w:val="24"/>
        </w:rPr>
        <w:t xml:space="preserve">відними, каналізаційними (мережами</w:t>
      </w:r>
      <w:r>
        <w:rPr>
          <w:rFonts w:ascii="Times New Roman" w:hAnsi="Times New Roman"/>
          <w:sz w:val="24"/>
          <w:szCs w:val="24"/>
        </w:rPr>
        <w:t xml:space="preserve"> водовідведення), місцевими (розподільчими) тепловими мережами, зливовою (дощовою) каналізацією, об’єктами зовнішнього ос</w:t>
      </w:r>
      <w:r>
        <w:rPr>
          <w:rFonts w:ascii="Times New Roman" w:hAnsi="Times New Roman"/>
          <w:sz w:val="24"/>
          <w:szCs w:val="24"/>
        </w:rPr>
        <w:t xml:space="preserve">вітлення та інженерними мережами – електроустановками (трансформаторними підстанціями, повітряними лініями, кабельними лініями) з моменту набрання чинності рішенням міської ради про прийняття до комунальної власності зазначених об’єктів або  рішенням суду.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З моменту набрання чинності рішенням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про прийняття до комунальної власності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, інженерних мереж – електроустановок (трансформаторних підстанцій, повітряних ліній, кабельних ліній) або ж набрання чинності рішенням суду Уповноважений </w:t>
      </w:r>
      <w:r>
        <w:rPr>
          <w:rFonts w:ascii="Times New Roman" w:hAnsi="Times New Roman"/>
          <w:sz w:val="24"/>
          <w:szCs w:val="24"/>
        </w:rPr>
        <w:t xml:space="preserve">орган має право</w:t>
      </w:r>
      <w:r>
        <w:rPr>
          <w:rFonts w:ascii="Times New Roman" w:hAnsi="Times New Roman"/>
          <w:sz w:val="24"/>
          <w:szCs w:val="24"/>
        </w:rPr>
        <w:t xml:space="preserve"> проводит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незалежну оцінку </w:t>
      </w:r>
      <w:r>
        <w:rPr>
          <w:rFonts w:ascii="Times New Roman" w:hAnsi="Times New Roman"/>
          <w:sz w:val="24"/>
          <w:szCs w:val="24"/>
        </w:rPr>
        <w:t xml:space="preserve">цих об’єктів</w:t>
      </w:r>
      <w:r>
        <w:rPr>
          <w:rFonts w:ascii="Times New Roman" w:hAnsi="Times New Roman"/>
          <w:sz w:val="24"/>
          <w:szCs w:val="24"/>
        </w:rPr>
        <w:t xml:space="preserve">, топографо-геодезичне знімання, виготовлення виконавчих креслень, іншої технічної документації, наявність якої необхідна для використання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ї, </w:t>
      </w:r>
      <w:r>
        <w:rPr>
          <w:rFonts w:ascii="Times New Roman" w:hAnsi="Times New Roman"/>
          <w:sz w:val="24"/>
          <w:szCs w:val="24"/>
        </w:rPr>
        <w:t xml:space="preserve">інженерних мереж – електроустановок (трансформаторних підстанцій, повітряних ліній, кабельних ліній) у разі її відсутності.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 Після прийняття безхазяйних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до комунальної власності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громади, </w:t>
      </w:r>
      <w:r>
        <w:rPr>
          <w:rFonts w:ascii="Times New Roman" w:hAnsi="Times New Roman"/>
          <w:sz w:val="24"/>
          <w:szCs w:val="24"/>
        </w:rPr>
        <w:t xml:space="preserve">Менська</w:t>
      </w:r>
      <w:r>
        <w:rPr>
          <w:rFonts w:ascii="Times New Roman" w:hAnsi="Times New Roman"/>
          <w:sz w:val="24"/>
          <w:szCs w:val="24"/>
        </w:rPr>
        <w:t xml:space="preserve"> міська рада приймає рішення щодо подальшого використання даних об’єктів, в тому числі  їх продажу чи передачі іншим юридичним чи фізичним особам в  </w:t>
      </w:r>
      <w:r>
        <w:rPr>
          <w:rFonts w:ascii="Times New Roman" w:hAnsi="Times New Roman"/>
          <w:sz w:val="24"/>
          <w:szCs w:val="24"/>
        </w:rPr>
        <w:t xml:space="preserve">оренду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Прийняті до комунальної власності територіальної громади міста безхазяйні водопровідні, каналізаційні (мережі водовід</w:t>
      </w:r>
      <w:r>
        <w:rPr>
          <w:rFonts w:ascii="Times New Roman" w:hAnsi="Times New Roman"/>
          <w:sz w:val="24"/>
          <w:szCs w:val="24"/>
        </w:rPr>
        <w:t xml:space="preserve">ведення), місцеві (розподільчі) теплові мережі, зливова (дощова) каналізація, об’єкти зовнішнього освітлення та інженерні мережі – електроустановки (трансформаторні підстанції, повітряні лінії, кабельні лінії) можуть бути передані в оренду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виконавцю робіт з утримання об’єктів зовнішнього освітлення, електропередавальній організації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або іншому суб’єкту господарювання</w:t>
      </w:r>
      <w:r>
        <w:rPr>
          <w:rFonts w:ascii="Times New Roman" w:hAnsi="Times New Roman"/>
          <w:sz w:val="24"/>
          <w:szCs w:val="24"/>
        </w:rPr>
        <w:t xml:space="preserve"> у відповідності з вимогами чинного законодавства. </w:t>
      </w:r>
      <w:r/>
    </w:p>
    <w:p>
      <w:pPr>
        <w:ind w:firstLine="709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Передачу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у даному випадку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виконавцю робіт з утримання об’єктів зовнішнього освітлення електропередавальній організації або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іншому суб’єкту господарювання</w:t>
      </w:r>
      <w:r>
        <w:rPr>
          <w:rFonts w:ascii="Times New Roman" w:hAnsi="Times New Roman"/>
          <w:sz w:val="24"/>
          <w:szCs w:val="24"/>
        </w:rPr>
        <w:t xml:space="preserve"> здійснює Уповноважений орган. </w:t>
      </w:r>
      <w:r/>
    </w:p>
    <w:p>
      <w:pPr>
        <w:ind w:firstLine="709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Уповноважений орган  забезпеч</w:t>
      </w:r>
      <w:r>
        <w:rPr>
          <w:rFonts w:ascii="Times New Roman" w:hAnsi="Times New Roman"/>
          <w:sz w:val="24"/>
          <w:szCs w:val="24"/>
        </w:rPr>
        <w:t xml:space="preserve">ує</w:t>
      </w:r>
      <w:r>
        <w:rPr>
          <w:rFonts w:ascii="Times New Roman" w:hAnsi="Times New Roman"/>
          <w:sz w:val="24"/>
          <w:szCs w:val="24"/>
        </w:rPr>
        <w:t xml:space="preserve"> наявність необхідної технічної документації на такі об’єкти та пров</w:t>
      </w:r>
      <w:r>
        <w:rPr>
          <w:rFonts w:ascii="Times New Roman" w:hAnsi="Times New Roman"/>
          <w:sz w:val="24"/>
          <w:szCs w:val="24"/>
        </w:rPr>
        <w:t xml:space="preserve">одить</w:t>
      </w:r>
      <w:r>
        <w:rPr>
          <w:rFonts w:ascii="Times New Roman" w:hAnsi="Times New Roman"/>
          <w:sz w:val="24"/>
          <w:szCs w:val="24"/>
        </w:rPr>
        <w:t xml:space="preserve">, в разі необхідності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незалежну оцінку, з метою встановлення вартості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ліній), які будуть передаватися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електропередавальній організації, виконавцю робіт з утримання об’єктів зовнішнього освітлення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або іншому суб’єкту господарювання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При прийнятті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 водовідведення), місцевих (розподільчих) теплових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інженерних мереж – електроустановок (трансформаторних підстанцій, повітряних ліній, кабельних ліній) </w:t>
      </w:r>
      <w:r>
        <w:rPr>
          <w:rFonts w:ascii="Times New Roman" w:hAnsi="Times New Roman"/>
          <w:sz w:val="24"/>
          <w:szCs w:val="24"/>
        </w:rPr>
        <w:t xml:space="preserve">виконавцем комунальної послуги</w:t>
      </w:r>
      <w:r>
        <w:rPr>
          <w:rFonts w:ascii="Times New Roman" w:hAnsi="Times New Roman"/>
          <w:sz w:val="24"/>
          <w:szCs w:val="24"/>
        </w:rPr>
        <w:t xml:space="preserve">, електропередавальною організацією, виконавцем робіт з утримання об’єктів зовнішнього освітлення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або іншим суб’єктом господарювання</w:t>
      </w:r>
      <w:r>
        <w:rPr>
          <w:rFonts w:ascii="Times New Roman" w:hAnsi="Times New Roman"/>
          <w:sz w:val="24"/>
          <w:szCs w:val="24"/>
        </w:rPr>
        <w:t xml:space="preserve">  він здійснює їх управління та експлуатацію згідно власної господарської діяльності та відповідно до вимог чинного законодавства, залишаючись при цьому відповідальним перед </w:t>
      </w:r>
      <w:r>
        <w:rPr>
          <w:rFonts w:ascii="Times New Roman" w:hAnsi="Times New Roman"/>
          <w:sz w:val="24"/>
          <w:szCs w:val="24"/>
        </w:rPr>
        <w:t xml:space="preserve">Менською міською </w:t>
      </w:r>
      <w:r>
        <w:rPr>
          <w:rFonts w:ascii="Times New Roman" w:hAnsi="Times New Roman"/>
          <w:sz w:val="24"/>
          <w:szCs w:val="24"/>
        </w:rPr>
        <w:t xml:space="preserve">радою</w:t>
      </w:r>
      <w:r>
        <w:rPr>
          <w:rFonts w:ascii="Times New Roman" w:hAnsi="Times New Roman"/>
          <w:sz w:val="24"/>
          <w:szCs w:val="24"/>
        </w:rPr>
        <w:t xml:space="preserve"> за ефективність управління та безпеку експлуатації таких об’єктів. Передані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електропередавальній організації, виконавцю робіт з утримання об’єктів зовнішнього освітлення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або іншому суб’єкту господарювання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водовідведення), місцев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(розподільч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) теплов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зливов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(дощов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 об’єкти зовнішнього освітлення, чи інженерні мережі – електроустановки (трансформаторні підстанції, повітряні лінії, кабельні лінії) залишаються об’єктом права комунальної власності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міста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Водопровідн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, каналізаційн</w:t>
      </w:r>
      <w:r>
        <w:rPr>
          <w:rFonts w:ascii="Times New Roman" w:hAnsi="Times New Roman"/>
          <w:sz w:val="24"/>
          <w:szCs w:val="24"/>
        </w:rPr>
        <w:t xml:space="preserve"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(мережі водовідведення), місцеві (розподільчі) теплові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мережі, зливова (дощова</w:t>
      </w:r>
      <w:r>
        <w:rPr>
          <w:rFonts w:ascii="Times New Roman" w:hAnsi="Times New Roman"/>
          <w:sz w:val="24"/>
          <w:szCs w:val="24"/>
        </w:rPr>
        <w:t xml:space="preserve">) каналізаці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 об’єкти зовнішнього освітлення чи інженерні мережі – електроустановки (трансформаторні підстанції, повітряні лінії, кабельні лінії) передаються виконавцю робіт з утримання об’єктів зовнішнього освітлення,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, електропередавальній організації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або іншому суб’єкту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господарювання</w:t>
      </w:r>
      <w:r>
        <w:rPr>
          <w:rFonts w:ascii="Times New Roman" w:hAnsi="Times New Roman"/>
          <w:sz w:val="24"/>
          <w:szCs w:val="24"/>
        </w:rPr>
        <w:t xml:space="preserve">  та повертаються Уповноваженим органом на підставі акту приймання-передачі відповідно до чинного законодавства України.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Спори щодо передачі безхазяйних водопровідних, каналізаційних (мереж водовідведення), місцевих (розподільчих) теплових мереж, зливової (дощової</w:t>
      </w:r>
      <w:r>
        <w:rPr>
          <w:rFonts w:ascii="Times New Roman" w:hAnsi="Times New Roman"/>
          <w:sz w:val="24"/>
          <w:szCs w:val="24"/>
        </w:rPr>
        <w:t xml:space="preserve">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 до комунальної власності та відчуження цих об’єктів вирішуються згідно із вимогами чинного законодавства.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Прийняття у комунальну власність </w:t>
      </w:r>
      <w:r>
        <w:rPr>
          <w:rFonts w:ascii="Times New Roman" w:hAnsi="Times New Roman"/>
          <w:b/>
          <w:sz w:val="24"/>
          <w:szCs w:val="24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водопровідних та каналізаційних (мереж водовідведення), місцевих (розподільчих) теплових мереж та об’єктів зовнішнього освітлення, що належать на праві приватної власності фізичним особам, фізичним особам-підприємцям або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юридичним особам  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5.1. Цей розділ визначає процедуру безоплатної передачі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водопровідних, каналізаційних (мереж водовідведення), місцевих (розподільчих) те</w:t>
      </w:r>
      <w:r>
        <w:rPr>
          <w:rFonts w:ascii="Times New Roman" w:hAnsi="Times New Roman"/>
          <w:sz w:val="24"/>
          <w:szCs w:val="24"/>
        </w:rPr>
        <w:t xml:space="preserve">плових мереж та об’єктів зовнішнього освітлення, що належать на праві приватної власності фізичним особам, фізичним особам-підприємцям або юридичним особам та безпосередньо приєднані до комунальних централізованих систем, у разі звернення цих суб’єктів до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про безоплатне прийняття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таких мереж або об’єктів зовнішнього освітлення. 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Фізичні особи, фізичні особи-підприємці або юридичні особи, які виявили бажання безоплатно  передати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водопровідні</w:t>
      </w:r>
      <w:r>
        <w:rPr>
          <w:rFonts w:ascii="Times New Roman" w:hAnsi="Times New Roman"/>
          <w:sz w:val="24"/>
          <w:szCs w:val="24"/>
        </w:rPr>
        <w:t xml:space="preserve">, каналізаційні мережі (мережі водовідведення), місцеві (розподільчі) теплові мережі та об’єкти зовнішнього освітлення, що належать цим суб’єктам на праві приватної власності та безпосередньо приєднані до комунальних централізованих систем, звертаються до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ab/>
        <w:t xml:space="preserve">із заявою про отримання довідки про наявність технічної документації на такі об’єкти.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Виконавець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виконавець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по одержанні зазначеної заяви протягом двох робочих днів перевіряє наявність технічної документації та у разі наявності повного комплекту такої документації, видає заявнику довідку. 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тих випадках, коли у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відсутня технічна документація, </w:t>
      </w:r>
      <w:r>
        <w:rPr>
          <w:rFonts w:ascii="Times New Roman" w:hAnsi="Times New Roman"/>
          <w:sz w:val="24"/>
          <w:szCs w:val="24"/>
        </w:rPr>
        <w:t xml:space="preserve">виконавець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виконавець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протягом п'яти робочих днів з дня отримання заяви має надати заявнику лист із зауваженнями та рекомендаціями щодо доопрацювання (відновлення) технічної документації.    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Після доопрацювання (відновлення) технічної документації заявник надає зазначену  документацію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з метою отримання</w:t>
      </w:r>
      <w:r>
        <w:rPr>
          <w:rFonts w:ascii="Times New Roman" w:hAnsi="Times New Roman"/>
          <w:sz w:val="24"/>
          <w:szCs w:val="24"/>
        </w:rPr>
        <w:t xml:space="preserve"> довідки про наявність належної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освітлення, які заявник має намір безоплатно  передати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разі врахування в доопрацьованій (відновленій) технічній документації зауважень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, останній не пізніше двох робочих днів видає заявнику довідку про наявність повного комплекту технічної документації.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разі не врахування зауважень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, останній відмовляє заявнику у видачі довідки про наявність повного комплекту технічної документації.  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5.3. Особи, зазначені у пункті 5.2 даного розділу, після отримання від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довідки про наявність повного комплекту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 звертаються до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із заявою про безоплатне прийняття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</w:t>
      </w:r>
      <w:r>
        <w:rPr>
          <w:rFonts w:ascii="Times New Roman" w:hAnsi="Times New Roman"/>
          <w:sz w:val="24"/>
          <w:szCs w:val="24"/>
        </w:rPr>
        <w:t xml:space="preserve"> громади цих мереж, об’єктів зовнішнього освітлення та додають копії наступних документів: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документ, що підтверджує право власності заявника на </w:t>
      </w:r>
      <w:r>
        <w:rPr>
          <w:rFonts w:ascii="Times New Roman" w:hAnsi="Times New Roman"/>
          <w:sz w:val="24"/>
          <w:szCs w:val="24"/>
        </w:rPr>
        <w:t xml:space="preserve">об’єкт нерухомості, до якого приєднані водопровідні, каналізаційні мережі (мережі водовідведення), місцеві (розподільчі) теплові мережі та об’єкти зовнішнього освітлення та довідку про наявність зазначених об’єктів на балансі заявника (для юридичних осіб);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довідку про наявність повного комплекту технічної документації від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на водопровідні, каналізаційні мережі (мережі водовідведення), місцеві (розподільчі) теплові мережі та об’єкти зовнішнього освітлення;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технічну документацію на такі об’єкти, а саме: 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погоджену проектну документацію, розроблену у відповідності до технічних умов, виданих </w:t>
      </w:r>
      <w:r>
        <w:rPr>
          <w:rFonts w:ascii="Times New Roman" w:hAnsi="Times New Roman"/>
          <w:sz w:val="24"/>
          <w:szCs w:val="24"/>
        </w:rPr>
        <w:t xml:space="preserve">виконавцем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/виконавцем робіт з утримання об’єктів зовнішнього освітлення, та у відповідності до нормативно-правових актів, що діяли в період розроблення цієї проектної документації;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відсутності проектної документації: </w:t>
      </w:r>
      <w:r/>
    </w:p>
    <w:p>
      <w:pPr>
        <w:ind w:left="72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виконавчі креслення на водопровідні, каналізаційні мережі (мережі водовідведення), місцеві (розподільчі) теплові мережі та об’єкти зовнішнього освітлення;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топографо-геодезичний план існуючої забудови або новозбудованого об'єкта M 1:500 з нанесеними водопровідними та/або каналізаційними мережами (мережами водовідведення), чинний на день подачі заяви щодо передачі мереж у комунальну власність</w:t>
      </w:r>
      <w:r>
        <w:rPr>
          <w:rFonts w:ascii="Times New Roman" w:hAnsi="Times New Roman"/>
          <w:sz w:val="24"/>
          <w:szCs w:val="24"/>
        </w:rPr>
        <w:t xml:space="preserve"> 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5.4. Після одержання заяви з відповідними копіями документів </w:t>
      </w:r>
      <w:r>
        <w:rPr>
          <w:rFonts w:ascii="Times New Roman" w:hAnsi="Times New Roman"/>
          <w:sz w:val="24"/>
          <w:szCs w:val="24"/>
        </w:rPr>
        <w:t xml:space="preserve">розпорядженням </w:t>
      </w:r>
      <w:r>
        <w:rPr>
          <w:rFonts w:ascii="Times New Roman" w:hAnsi="Times New Roman"/>
          <w:sz w:val="24"/>
          <w:szCs w:val="24"/>
        </w:rPr>
        <w:t xml:space="preserve">міського голови Менської</w:t>
      </w:r>
      <w:r>
        <w:rPr>
          <w:rFonts w:ascii="Times New Roman" w:hAnsi="Times New Roman"/>
          <w:sz w:val="24"/>
          <w:szCs w:val="24"/>
        </w:rPr>
        <w:t xml:space="preserve"> міської ради створюється комісія, яка організовує комісійне обстеження  водопровідних, каналізаційних мереж (мереж водовідведення), місцевих (розподільчих) теплових мереж та об’єктів зовнішнього освітлення, у процесі якого вирішуються наступні питання: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перевірка наявності необхідної технічної документації та документа, що підтверджує право власності заявника на такі об’єкти;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технічні характеристики обстеження  водопровідних, каналізаційних мереж (мереж водовідведення), місцевих (розподільчих) теплових мереж та об’єктів зовнішнього освітлення (діаметр, довжина, матеріал трубопроводу тощо), їх технічний стан;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можливість експлуатації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обстеження  водопровідних, каналізаційних мереж (мереж водовідведення), місцевих (розподільчих) теплових мереж та об’єктів зовнішнього освітлення;                                                 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пропозиції щодо подальшого використання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обстеження  водопровідних, каналізаційних мереж (мереж водовідведення), місцевих (розподільчих) теплових мереж та об’єктів зовнішнього освітлення;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інші питання.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5.5.Комісійне обстеження водопровідних, каналізаційних мереж (мереж водовідведення), місцевих (розподільчих) теплових мереж та об’єктів зовнішнього </w:t>
      </w:r>
      <w:r>
        <w:rPr>
          <w:rFonts w:ascii="Times New Roman" w:hAnsi="Times New Roman"/>
          <w:sz w:val="24"/>
          <w:szCs w:val="24"/>
        </w:rPr>
        <w:t xml:space="preserve">освітлення здійснюється комісією </w:t>
      </w:r>
      <w:r>
        <w:rPr>
          <w:rFonts w:ascii="Times New Roman" w:hAnsi="Times New Roman"/>
          <w:sz w:val="24"/>
          <w:szCs w:val="24"/>
        </w:rPr>
        <w:t xml:space="preserve">Менської </w:t>
      </w:r>
      <w:r>
        <w:rPr>
          <w:rFonts w:ascii="Times New Roman" w:hAnsi="Times New Roman"/>
          <w:sz w:val="24"/>
          <w:szCs w:val="24"/>
        </w:rPr>
        <w:t xml:space="preserve"> міської ради з обов’язковим залученням до складу комісії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/виконавця робіт з утримання об’єктів зовнішнього освітлення та завершується складанням акта обстеження мереж із зазначенням всіх з’ясованих в ході обстеження даних за формою, встановленою в Додатку № 2 до даного Положення.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5.6. Водопровідні, каналізаційні мережі (мережі водовідведення), місцеві (розподільчі) теплові мережі та об’єкти зовнішнього освітлення переходять 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на підставі рішення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при умові що </w:t>
      </w:r>
      <w:r>
        <w:rPr>
          <w:rFonts w:ascii="Times New Roman" w:hAnsi="Times New Roman"/>
          <w:sz w:val="24"/>
          <w:szCs w:val="24"/>
        </w:rPr>
        <w:t xml:space="preserve">комісійно</w:t>
      </w:r>
      <w:r>
        <w:rPr>
          <w:rFonts w:ascii="Times New Roman" w:hAnsi="Times New Roman"/>
          <w:sz w:val="24"/>
          <w:szCs w:val="24"/>
        </w:rPr>
        <w:t xml:space="preserve"> було встановлено, що дані об’єкти знаходяться в належному технічному стані.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Водопровідні, каналізаційні мережі (мережі водовідведення), місцеві (розподільчі) теплові мережі та об’єк</w:t>
      </w:r>
      <w:r>
        <w:rPr>
          <w:rFonts w:ascii="Times New Roman" w:hAnsi="Times New Roman"/>
          <w:sz w:val="24"/>
          <w:szCs w:val="24"/>
        </w:rPr>
        <w:t xml:space="preserve">ти зовнішнього освітлення, які перебувають у неналежному технічному стані можуть бути прийняті в комунальну власність лише при умові, що власник таких об’єктів до їх передачі в комунальну власність, приведе їх до справного технічного стану за власні кошти.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5.7. Копія рішення </w:t>
      </w:r>
      <w:r>
        <w:rPr>
          <w:rFonts w:ascii="Times New Roman" w:hAnsi="Times New Roman"/>
          <w:sz w:val="24"/>
          <w:szCs w:val="24"/>
        </w:rPr>
        <w:t xml:space="preserve">Менської</w:t>
      </w:r>
      <w:r>
        <w:rPr>
          <w:rFonts w:ascii="Times New Roman" w:hAnsi="Times New Roman"/>
          <w:sz w:val="24"/>
          <w:szCs w:val="24"/>
        </w:rPr>
        <w:t xml:space="preserve"> міської ради про прийняття у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територіальної громади </w:t>
      </w:r>
      <w:r>
        <w:rPr>
          <w:rFonts w:ascii="Times New Roman" w:hAnsi="Times New Roman"/>
          <w:sz w:val="24"/>
          <w:szCs w:val="24"/>
        </w:rPr>
        <w:t xml:space="preserve">водопровідних, каналізаційних мереж (мереж водовідведення), місцевих (розподільчих) теплових мереж та об’єктів зовнішнього освітлення надсилається на адресу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до відома.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/>
    </w:p>
    <w:p>
      <w:pPr>
        <w:ind w:firstLine="284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До моменту передачі об’єктів зовнішнього освітлення та </w:t>
      </w:r>
      <w:r>
        <w:rPr>
          <w:rFonts w:ascii="Times New Roman" w:hAnsi="Times New Roman"/>
          <w:sz w:val="24"/>
          <w:szCs w:val="24"/>
        </w:rPr>
        <w:t xml:space="preserve">водопровідних, каналізаційних мереж (мереж водовідведення), місцевих (розподільчих) теплових мереж</w:t>
      </w:r>
      <w:r>
        <w:rPr>
          <w:rFonts w:ascii="Times New Roman" w:hAnsi="Times New Roman"/>
          <w:sz w:val="24"/>
          <w:szCs w:val="24"/>
        </w:rPr>
        <w:t xml:space="preserve">, що належать на праві приватної власності фізичним особам, фізичним особам-підприємцям або юридичним особам відповідному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 або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виконавцю робіт з утримання об’єктів зовнішнього освітлення,</w:t>
      </w:r>
      <w:r>
        <w:rPr>
          <w:rFonts w:ascii="Times New Roman" w:hAnsi="Times New Roman"/>
          <w:sz w:val="24"/>
          <w:szCs w:val="24"/>
        </w:rPr>
        <w:t xml:space="preserve"> відповідальними за їх зберігання, утримання та обслуговування являються власники даного майна, що ініціювали його передачу в комунальну власність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громади.</w:t>
      </w:r>
      <w:r/>
    </w:p>
    <w:p>
      <w:pPr>
        <w:ind w:firstLine="284"/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Прийняті до комунальної власності </w:t>
      </w:r>
      <w:r>
        <w:rPr>
          <w:rFonts w:ascii="Times New Roman" w:hAnsi="Times New Roman"/>
          <w:sz w:val="24"/>
          <w:szCs w:val="24"/>
        </w:rPr>
        <w:t xml:space="preserve">Менської міської об’єднаної </w:t>
      </w:r>
      <w:r>
        <w:rPr>
          <w:rFonts w:ascii="Times New Roman" w:hAnsi="Times New Roman"/>
          <w:sz w:val="24"/>
          <w:szCs w:val="24"/>
        </w:rPr>
        <w:t xml:space="preserve">територіальної громади водопровідні, каналізаційні мережі (мережі водовідведення), місцеві (розподільчі) теплові мережі та об’єкти зовнішнього освітлення за рішенням міської ради передаються </w:t>
      </w:r>
      <w:r>
        <w:rPr>
          <w:rFonts w:ascii="Times New Roman" w:hAnsi="Times New Roman"/>
          <w:sz w:val="24"/>
          <w:szCs w:val="24"/>
        </w:rPr>
        <w:t xml:space="preserve">згідно чинного законодавства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 та при умові що об’єкти які передаються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ю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знаходяться у справному технічному стані і можуть безперешкодно експлуатуватися.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5.10. Водопровідні, каналізаційні мережі (мережі водовідведення), місцеві (розподільчі) теплові мережі та об’єкти зовнішнього освітлення передаються </w:t>
      </w:r>
      <w:r>
        <w:rPr>
          <w:rFonts w:ascii="Times New Roman" w:hAnsi="Times New Roman"/>
          <w:sz w:val="24"/>
          <w:szCs w:val="24"/>
        </w:rPr>
        <w:t xml:space="preserve">виконавцю комунальної послуги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виконавцю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  та повертаються згідно акту приймання-передачі, а у передбачених чинним законодавством випадках - відповідно до укладених  договорів між </w:t>
      </w:r>
      <w:r>
        <w:rPr>
          <w:rFonts w:ascii="Times New Roman" w:hAnsi="Times New Roman"/>
          <w:sz w:val="24"/>
          <w:szCs w:val="24"/>
        </w:rPr>
        <w:t xml:space="preserve">Менською</w:t>
      </w:r>
      <w:r>
        <w:rPr>
          <w:rFonts w:ascii="Times New Roman" w:hAnsi="Times New Roman"/>
          <w:sz w:val="24"/>
          <w:szCs w:val="24"/>
        </w:rPr>
        <w:t xml:space="preserve"> міською радою та </w:t>
      </w:r>
      <w:r>
        <w:rPr>
          <w:rFonts w:ascii="Times New Roman" w:hAnsi="Times New Roman"/>
          <w:sz w:val="24"/>
          <w:szCs w:val="24"/>
        </w:rPr>
        <w:t xml:space="preserve">виконавцем комунальної послуги</w:t>
      </w:r>
      <w:r>
        <w:rPr>
          <w:rFonts w:ascii="Times New Roman" w:hAnsi="Times New Roman"/>
          <w:sz w:val="24"/>
          <w:szCs w:val="24"/>
        </w:rPr>
        <w:t xml:space="preserve">/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виконавц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ем</w:t>
      </w:r>
      <w:r>
        <w:rPr>
          <w:rStyle w:val="566"/>
          <w:rFonts w:ascii="Times New Roman" w:hAnsi="Times New Roman"/>
          <w:color w:val="000000"/>
          <w:sz w:val="24"/>
          <w:szCs w:val="24"/>
        </w:rPr>
        <w:t xml:space="preserve"> робіт з утримання об’єктів зовнішнього освітлення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4962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1</w:t>
      </w:r>
      <w:r/>
    </w:p>
    <w:p>
      <w:pPr>
        <w:ind w:left="4950"/>
        <w:spacing w:lineRule="auto" w:line="24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 Положення про виявлення, обстеження водопровідних, каналіза</w:t>
      </w:r>
      <w:r>
        <w:rPr>
          <w:rFonts w:ascii="Times New Roman" w:hAnsi="Times New Roman"/>
          <w:sz w:val="20"/>
          <w:szCs w:val="20"/>
        </w:rPr>
        <w:t xml:space="preserve">ційних (мереж водовідведення), місцевих (розподільчих) теплових мереж, об’єктів зовнішнього освітлення та інженерних мереж – електроустановок (трансформаторних підстанцій, повітряних ліній, кабельних ліній),  їх облік та прийняття до комунальної власності </w:t>
      </w:r>
      <w:r>
        <w:rPr>
          <w:rFonts w:ascii="Times New Roman" w:hAnsi="Times New Roman"/>
          <w:sz w:val="20"/>
          <w:szCs w:val="20"/>
        </w:rPr>
        <w:t xml:space="preserve"> Менської міської об’єднаної </w:t>
      </w:r>
      <w:r>
        <w:rPr>
          <w:rFonts w:ascii="Times New Roman" w:hAnsi="Times New Roman"/>
          <w:sz w:val="20"/>
          <w:szCs w:val="20"/>
        </w:rPr>
        <w:t xml:space="preserve">територіальної громади </w:t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</w:t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обстеження виявлених безхазяйних водоп</w:t>
      </w:r>
      <w:r>
        <w:rPr>
          <w:rFonts w:ascii="Times New Roman" w:hAnsi="Times New Roman"/>
          <w:b/>
        </w:rPr>
        <w:t xml:space="preserve">ровідних, каналізаційних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</w:t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 20__ року                                  № 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Комісія у складі: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представників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</w:rPr>
        <w:t xml:space="preserve">/</w:t>
      </w:r>
      <w:r>
        <w:rPr>
          <w:rStyle w:val="566"/>
          <w:rFonts w:ascii="Times New Roman" w:hAnsi="Times New Roman"/>
          <w:color w:val="000000"/>
        </w:rPr>
        <w:t xml:space="preserve">виконавця робіт з утримання об’єктів зовнішнього освітлення/електропередавальної організації/іншого суб’єкта господарювання</w:t>
      </w:r>
      <w:r>
        <w:rPr>
          <w:rFonts w:ascii="Times New Roman" w:hAnsi="Times New Roman"/>
        </w:rPr>
        <w:t xml:space="preserve">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адресою: 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(місце виявлення безхазяйних мереж)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виявила елементи та частини (ділянки) водопровідних, каналіз</w:t>
      </w:r>
      <w:r>
        <w:rPr>
          <w:rFonts w:ascii="Times New Roman" w:hAnsi="Times New Roman"/>
        </w:rPr>
        <w:t xml:space="preserve">аційних мереж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ліній, кабельних ліній), власник (</w:t>
      </w:r>
      <w:r>
        <w:rPr>
          <w:rFonts w:ascii="Times New Roman" w:hAnsi="Times New Roman"/>
        </w:rPr>
        <w:t xml:space="preserve">балансоутримувач</w:t>
      </w:r>
      <w:r>
        <w:rPr>
          <w:rFonts w:ascii="Times New Roman" w:hAnsi="Times New Roman"/>
        </w:rPr>
        <w:t xml:space="preserve">) яких невідомий, а саме: 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(назва та  технічні характеристики мереж)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Відомості про тех</w:t>
      </w:r>
      <w:r>
        <w:rPr>
          <w:rFonts w:ascii="Times New Roman" w:hAnsi="Times New Roman"/>
        </w:rPr>
        <w:t xml:space="preserve">нічний стан водопровідних, каналізаційних мереж (мереж водовідведення), місцевих (розподільчих) теплових мереж, зливової (дощової) каналізації, об’єктів зовнішнього освітлення та інженерних мереж – електроустановок (трансформаторних підстанцій, повітряних </w:t>
      </w:r>
      <w:r>
        <w:rPr>
          <w:rFonts w:ascii="Times New Roman" w:hAnsi="Times New Roman"/>
        </w:rPr>
        <w:t xml:space="preserve">ліній, кабельних ліній):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Інші відомості: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Цей акт складено в _______________ примірниках.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Члени комісії: 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Додатки (за наявності): ____________________________________</w:t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____________________________________</w:t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____________________________________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4956" w:firstLine="708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Додаток № 2</w:t>
      </w:r>
      <w:r/>
    </w:p>
    <w:p>
      <w:pPr>
        <w:ind w:left="495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 Положення про виявлення, обстеження водопровідних, каналізац</w:t>
      </w:r>
      <w:r>
        <w:rPr>
          <w:rFonts w:ascii="Times New Roman" w:hAnsi="Times New Roman"/>
          <w:sz w:val="20"/>
          <w:szCs w:val="20"/>
        </w:rPr>
        <w:t xml:space="preserve">ійних (мереж водовідведення), місцевих (розподільчих) теплових мереж та об’єктів зовнішнього освітлення та інженерних мереж – електроустановок (трансформаторних підстанцій, повітряних ліній, кабельних ліній), їх облік та прийняття до комунальної власності </w:t>
      </w:r>
      <w:r>
        <w:rPr>
          <w:rFonts w:ascii="Times New Roman" w:hAnsi="Times New Roman"/>
          <w:sz w:val="20"/>
          <w:szCs w:val="20"/>
        </w:rPr>
        <w:t xml:space="preserve">Менської міської об’єднаної </w:t>
      </w:r>
      <w:r>
        <w:rPr>
          <w:rFonts w:ascii="Times New Roman" w:hAnsi="Times New Roman"/>
          <w:sz w:val="20"/>
          <w:szCs w:val="20"/>
        </w:rPr>
        <w:t xml:space="preserve">територіальної громади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</w:t>
      </w:r>
      <w:r/>
    </w:p>
    <w:p>
      <w:pPr>
        <w:jc w:val="center"/>
        <w:spacing w:lineRule="auto" w:line="240" w:after="0"/>
        <w:tabs>
          <w:tab w:val="left" w:pos="2760" w:leader="none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обстеження водопровідних, каналізаційних мереж (мереж водовідведення), місцевих (розподільчих) теплових мереж, об’єктів зовнішнього освітлення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 20__ року                                  № 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Комісія у складі: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представників </w:t>
      </w:r>
      <w:r>
        <w:rPr>
          <w:rFonts w:ascii="Times New Roman" w:hAnsi="Times New Roman"/>
          <w:sz w:val="24"/>
          <w:szCs w:val="24"/>
        </w:rPr>
        <w:t xml:space="preserve">виконавця комунальної послуги</w:t>
      </w:r>
      <w:r>
        <w:rPr>
          <w:rFonts w:ascii="Times New Roman" w:hAnsi="Times New Roman"/>
        </w:rPr>
        <w:t xml:space="preserve">/</w:t>
      </w:r>
      <w:r>
        <w:rPr>
          <w:rStyle w:val="566"/>
          <w:rFonts w:ascii="Times New Roman" w:hAnsi="Times New Roman"/>
          <w:color w:val="000000"/>
        </w:rPr>
        <w:t xml:space="preserve">виконавця робіт з утримання об’єктів зовнішнього освітлення</w:t>
      </w:r>
      <w:r>
        <w:rPr>
          <w:rFonts w:ascii="Times New Roman" w:hAnsi="Times New Roman"/>
        </w:rPr>
        <w:t xml:space="preserve">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(посада, прізвище, ім’я,по батькові)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адресою: 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(місце знаходження мереж)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здійснила обстеження водопровідних, каналізаційних мереж (мереж водовідведення), місцевих (розподільчих) теплових мереж та об’єктів зовнішнього освітлення, власник (</w:t>
      </w:r>
      <w:r>
        <w:rPr>
          <w:rFonts w:ascii="Times New Roman" w:hAnsi="Times New Roman"/>
        </w:rPr>
        <w:t xml:space="preserve">балансоутримувач</w:t>
      </w:r>
      <w:r>
        <w:rPr>
          <w:rFonts w:ascii="Times New Roman" w:hAnsi="Times New Roman"/>
        </w:rPr>
        <w:t xml:space="preserve">) яких звернувся із заявою про передачу їх у комунальну власність </w:t>
      </w:r>
      <w:r>
        <w:rPr>
          <w:rFonts w:ascii="Times New Roman" w:hAnsi="Times New Roman"/>
        </w:rPr>
        <w:t xml:space="preserve">Менської міської об’єднаної </w:t>
      </w:r>
      <w:r>
        <w:rPr>
          <w:rFonts w:ascii="Times New Roman" w:hAnsi="Times New Roman"/>
        </w:rPr>
        <w:t xml:space="preserve">територіальної громади, а саме: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( технічні характеристики мереж)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Відомості про технічний стан водопровідних, каналізаційних мереж (мереж водовідведення), місцевих (розподільчих) теплових мереж та об’єктів зовнішнього освітлення: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Відомості про наявність документа, що підтверджує право власності заявника на об’єкт нерухомості, до якого приєднані водопровідні, каналізаційні мережі (мережі водовідведення), місцеві (розподільчі) теплові мережі та об’єкти зовнішнього освітлення: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Відомості про наявність технічної документації на водопровідні, каналізаційні мережі (мережі водовідведення), місцеві (розподільчі) теплові мережі та об’єкти зовнішнього освітлення: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</w:rPr>
        <w:t xml:space="preserve">                           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Інші відомості: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Цей акт складено в _______________ примірниках.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Члени комісії: 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( прізвище, ім’я,по батькові, підпис) </w:t>
      </w:r>
      <w:r/>
    </w:p>
    <w:p>
      <w:pPr>
        <w:jc w:val="both"/>
        <w:spacing w:lineRule="auto" w:line="240" w:after="0"/>
        <w:tabs>
          <w:tab w:val="left" w:pos="2748" w:leader="none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/>
    </w:p>
    <w:p>
      <w:pPr>
        <w:jc w:val="center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Додатки (за наявності): ____________________________________</w:t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____________________________________</w:t>
      </w:r>
      <w:r/>
    </w:p>
    <w:p>
      <w:pPr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____________________________________</w:t>
      </w:r>
      <w:r/>
    </w:p>
    <w:sectPr>
      <w:footnotePr/>
      <w:type w:val="nextPage"/>
      <w:pgSz w:w="11906" w:h="16838" w:orient="portrait"/>
      <w:pgMar w:top="851" w:right="850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59"/>
    <w:next w:val="559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0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59"/>
    <w:next w:val="559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0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59"/>
    <w:next w:val="559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0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0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0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0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59"/>
    <w:next w:val="559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0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0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59"/>
    <w:next w:val="55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0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59"/>
    <w:next w:val="559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0"/>
    <w:link w:val="409"/>
    <w:uiPriority w:val="10"/>
    <w:rPr>
      <w:sz w:val="48"/>
      <w:szCs w:val="48"/>
    </w:rPr>
  </w:style>
  <w:style w:type="paragraph" w:styleId="411">
    <w:name w:val="Subtitle"/>
    <w:basedOn w:val="559"/>
    <w:next w:val="559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0"/>
    <w:link w:val="411"/>
    <w:uiPriority w:val="11"/>
    <w:rPr>
      <w:sz w:val="24"/>
      <w:szCs w:val="24"/>
    </w:rPr>
  </w:style>
  <w:style w:type="paragraph" w:styleId="413">
    <w:name w:val="Quote"/>
    <w:basedOn w:val="559"/>
    <w:next w:val="559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59"/>
    <w:next w:val="559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0"/>
    <w:link w:val="572"/>
    <w:uiPriority w:val="99"/>
  </w:style>
  <w:style w:type="character" w:styleId="418">
    <w:name w:val="Footer Char"/>
    <w:basedOn w:val="560"/>
    <w:link w:val="574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Plain Text"/>
    <w:basedOn w:val="559"/>
    <w:link w:val="564"/>
    <w:semiHidden/>
    <w:rPr>
      <w:rFonts w:ascii="Courier New" w:hAnsi="Courier New" w:cs="Courier New" w:eastAsia="Calibri"/>
      <w:sz w:val="20"/>
      <w:szCs w:val="20"/>
      <w:lang w:val="ru-RU" w:eastAsia="ru-RU"/>
    </w:rPr>
    <w:pPr>
      <w:spacing w:lineRule="auto" w:line="240" w:after="0"/>
    </w:pPr>
  </w:style>
  <w:style w:type="character" w:styleId="564" w:customStyle="1">
    <w:name w:val="Текст Знак"/>
    <w:basedOn w:val="560"/>
    <w:link w:val="563"/>
    <w:semiHidden/>
    <w:rPr>
      <w:rFonts w:ascii="Courier New" w:hAnsi="Courier New" w:cs="Courier New"/>
      <w:sz w:val="20"/>
      <w:szCs w:val="20"/>
      <w:lang w:eastAsia="ru-RU"/>
    </w:rPr>
  </w:style>
  <w:style w:type="paragraph" w:styleId="565" w:customStyle="1">
    <w:name w:val="Без интервала1"/>
    <w:rPr>
      <w:sz w:val="22"/>
      <w:szCs w:val="22"/>
    </w:rPr>
  </w:style>
  <w:style w:type="character" w:styleId="566" w:customStyle="1">
    <w:name w:val="apple-style-span"/>
    <w:basedOn w:val="560"/>
    <w:rPr>
      <w:rFonts w:cs="Times New Roman"/>
    </w:rPr>
  </w:style>
  <w:style w:type="paragraph" w:styleId="567">
    <w:name w:val="Balloon Text"/>
    <w:basedOn w:val="559"/>
    <w:link w:val="568"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выноски Знак"/>
    <w:basedOn w:val="560"/>
    <w:link w:val="567"/>
    <w:rPr>
      <w:rFonts w:ascii="Tahoma" w:hAnsi="Tahoma" w:cs="Tahoma" w:eastAsia="Times New Roman"/>
      <w:sz w:val="16"/>
      <w:szCs w:val="16"/>
      <w:lang w:val="uk-UA" w:eastAsia="en-US"/>
    </w:rPr>
  </w:style>
  <w:style w:type="paragraph" w:styleId="569">
    <w:name w:val="List Paragraph"/>
    <w:basedOn w:val="559"/>
    <w:qFormat/>
    <w:uiPriority w:val="34"/>
    <w:pPr>
      <w:contextualSpacing w:val="true"/>
      <w:ind w:left="720"/>
    </w:pPr>
  </w:style>
  <w:style w:type="character" w:styleId="570" w:customStyle="1">
    <w:name w:val="rvts23"/>
    <w:basedOn w:val="560"/>
  </w:style>
  <w:style w:type="character" w:styleId="571" w:customStyle="1">
    <w:name w:val="rvts9"/>
    <w:basedOn w:val="560"/>
  </w:style>
  <w:style w:type="paragraph" w:styleId="572">
    <w:name w:val="Header"/>
    <w:basedOn w:val="559"/>
    <w:link w:val="573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3" w:customStyle="1">
    <w:name w:val="Верхний колонтитул Знак"/>
    <w:basedOn w:val="560"/>
    <w:link w:val="572"/>
    <w:rPr>
      <w:rFonts w:eastAsia="Times New Roman"/>
      <w:sz w:val="22"/>
      <w:szCs w:val="22"/>
      <w:lang w:val="uk-UA" w:eastAsia="en-US"/>
    </w:rPr>
  </w:style>
  <w:style w:type="paragraph" w:styleId="574">
    <w:name w:val="Footer"/>
    <w:basedOn w:val="559"/>
    <w:link w:val="57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75" w:customStyle="1">
    <w:name w:val="Нижний колонтитул Знак"/>
    <w:basedOn w:val="560"/>
    <w:link w:val="574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Кроха Наталія Олексіївна</cp:lastModifiedBy>
  <cp:revision>125</cp:revision>
  <dcterms:created xsi:type="dcterms:W3CDTF">2020-07-03T07:34:00Z</dcterms:created>
  <dcterms:modified xsi:type="dcterms:W3CDTF">2020-08-18T13:30:37Z</dcterms:modified>
</cp:coreProperties>
</file>