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A" w:rsidRDefault="001346E5">
      <w:pPr>
        <w:ind w:left="720" w:hanging="720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471756" cy="6566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1756" cy="65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51.7pt;" stroked="false">
                <v:path textboxrect="0,0,0,0"/>
                <v:imagedata r:id="rId9" o:title=""/>
              </v:shape>
            </w:pict>
          </mc:Fallback>
        </mc:AlternateContent>
      </w:r>
    </w:p>
    <w:p w:rsidR="00676F1A" w:rsidRDefault="00134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676F1A" w:rsidRDefault="001346E5">
      <w:pPr>
        <w:jc w:val="center"/>
      </w:pPr>
      <w:r>
        <w:rPr>
          <w:b/>
          <w:sz w:val="28"/>
          <w:szCs w:val="28"/>
        </w:rPr>
        <w:t>МЕНСЬКА МІСЬКА РАДА</w:t>
      </w:r>
    </w:p>
    <w:p w:rsidR="00676F1A" w:rsidRDefault="001346E5">
      <w:pPr>
        <w:pStyle w:val="1"/>
        <w:rPr>
          <w:color w:val="000000"/>
          <w:sz w:val="28"/>
          <w:szCs w:val="28"/>
        </w:rPr>
      </w:pPr>
      <w:r>
        <w:t>Менського району Чернігівської області</w:t>
      </w:r>
    </w:p>
    <w:p w:rsidR="00676F1A" w:rsidRDefault="001346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(сорокова сесія сьомого скликання)</w:t>
      </w:r>
    </w:p>
    <w:p w:rsidR="00676F1A" w:rsidRDefault="001346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76F1A" w:rsidRDefault="00267099">
      <w:pPr>
        <w:tabs>
          <w:tab w:val="left" w:pos="4394"/>
        </w:tabs>
        <w:rPr>
          <w:sz w:val="28"/>
          <w:szCs w:val="28"/>
        </w:rPr>
      </w:pPr>
      <w:r>
        <w:rPr>
          <w:sz w:val="28"/>
          <w:szCs w:val="28"/>
        </w:rPr>
        <w:t>10 липня 2020 року</w:t>
      </w:r>
      <w:r>
        <w:rPr>
          <w:sz w:val="28"/>
          <w:szCs w:val="28"/>
        </w:rPr>
        <w:tab/>
        <w:t>№17</w:t>
      </w:r>
      <w:r w:rsidR="001346E5">
        <w:rPr>
          <w:sz w:val="28"/>
          <w:szCs w:val="28"/>
        </w:rPr>
        <w:t>8</w:t>
      </w:r>
    </w:p>
    <w:p w:rsidR="00676F1A" w:rsidRDefault="00676F1A">
      <w:pPr>
        <w:rPr>
          <w:sz w:val="28"/>
          <w:szCs w:val="28"/>
        </w:rPr>
      </w:pPr>
    </w:p>
    <w:p w:rsidR="00267099" w:rsidRDefault="00267099" w:rsidP="00267099">
      <w:pPr>
        <w:keepNext/>
        <w:numPr>
          <w:ilvl w:val="3"/>
          <w:numId w:val="0"/>
        </w:numPr>
        <w:tabs>
          <w:tab w:val="left" w:pos="0"/>
        </w:tabs>
        <w:ind w:right="5243"/>
        <w:outlineLvl w:val="3"/>
        <w:rPr>
          <w:b/>
          <w:sz w:val="28"/>
          <w:szCs w:val="28"/>
          <w:lang w:eastAsia="zh-CN"/>
        </w:rPr>
      </w:pPr>
      <w:r w:rsidRPr="006852BF">
        <w:rPr>
          <w:b/>
          <w:sz w:val="28"/>
          <w:szCs w:val="28"/>
          <w:lang w:eastAsia="zh-CN"/>
        </w:rPr>
        <w:t>Про</w:t>
      </w:r>
      <w:r w:rsidRPr="006852BF">
        <w:rPr>
          <w:sz w:val="28"/>
          <w:szCs w:val="28"/>
        </w:rPr>
        <w:t xml:space="preserve"> </w:t>
      </w:r>
      <w:r w:rsidRPr="006852BF">
        <w:rPr>
          <w:b/>
          <w:sz w:val="28"/>
          <w:szCs w:val="28"/>
          <w:lang w:eastAsia="zh-CN"/>
        </w:rPr>
        <w:t>розгляд звернення</w:t>
      </w:r>
    </w:p>
    <w:p w:rsidR="00267099" w:rsidRPr="006852BF" w:rsidRDefault="00267099" w:rsidP="00267099">
      <w:pPr>
        <w:keepNext/>
        <w:numPr>
          <w:ilvl w:val="3"/>
          <w:numId w:val="0"/>
        </w:numPr>
        <w:tabs>
          <w:tab w:val="left" w:pos="0"/>
        </w:tabs>
        <w:ind w:right="5243"/>
        <w:outlineLvl w:val="3"/>
        <w:rPr>
          <w:sz w:val="28"/>
          <w:szCs w:val="28"/>
          <w:lang w:eastAsia="zh-CN"/>
        </w:rPr>
      </w:pPr>
      <w:r w:rsidRPr="006852BF">
        <w:rPr>
          <w:b/>
          <w:sz w:val="28"/>
          <w:szCs w:val="28"/>
          <w:lang w:eastAsia="zh-CN"/>
        </w:rPr>
        <w:t>КП «</w:t>
      </w:r>
      <w:proofErr w:type="spellStart"/>
      <w:r w:rsidRPr="006852BF">
        <w:rPr>
          <w:b/>
          <w:sz w:val="28"/>
          <w:szCs w:val="28"/>
          <w:lang w:eastAsia="zh-CN"/>
        </w:rPr>
        <w:t>Менакомунпослуга</w:t>
      </w:r>
      <w:proofErr w:type="spellEnd"/>
      <w:r w:rsidRPr="006852BF">
        <w:rPr>
          <w:b/>
          <w:sz w:val="28"/>
          <w:szCs w:val="28"/>
          <w:lang w:eastAsia="zh-CN"/>
        </w:rPr>
        <w:t>»</w:t>
      </w:r>
    </w:p>
    <w:p w:rsidR="00676F1A" w:rsidRDefault="00676F1A">
      <w:pPr>
        <w:ind w:right="5386"/>
        <w:rPr>
          <w:b/>
          <w:sz w:val="28"/>
          <w:szCs w:val="28"/>
        </w:rPr>
      </w:pPr>
    </w:p>
    <w:p w:rsidR="00676F1A" w:rsidRDefault="00134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79B">
        <w:rPr>
          <w:sz w:val="28"/>
          <w:szCs w:val="28"/>
        </w:rPr>
        <w:t xml:space="preserve">Розглянувши звернення </w:t>
      </w:r>
      <w:r w:rsidR="00890F62">
        <w:rPr>
          <w:sz w:val="28"/>
          <w:szCs w:val="28"/>
        </w:rPr>
        <w:t>директора КП «</w:t>
      </w:r>
      <w:proofErr w:type="spellStart"/>
      <w:r w:rsidR="00890F62">
        <w:rPr>
          <w:sz w:val="28"/>
          <w:szCs w:val="28"/>
        </w:rPr>
        <w:t>Менакомунпослуга</w:t>
      </w:r>
      <w:proofErr w:type="spellEnd"/>
      <w:r w:rsidR="00890F62">
        <w:rPr>
          <w:sz w:val="28"/>
          <w:szCs w:val="28"/>
        </w:rPr>
        <w:t>» щодо необхідності додаткового фінансування для</w:t>
      </w:r>
      <w:r>
        <w:rPr>
          <w:sz w:val="28"/>
          <w:szCs w:val="28"/>
        </w:rPr>
        <w:t xml:space="preserve"> здійснення комунальним підприємством “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” діяльності відповідно до Статуту підприємства, </w:t>
      </w:r>
      <w:r w:rsidR="00000F2A">
        <w:rPr>
          <w:sz w:val="28"/>
          <w:szCs w:val="28"/>
        </w:rPr>
        <w:t xml:space="preserve">враховуючи обговорення під час 3-го пленарного засідання сорокової сесії сьомого скликання, </w:t>
      </w:r>
      <w:r>
        <w:rPr>
          <w:sz w:val="28"/>
          <w:szCs w:val="28"/>
        </w:rPr>
        <w:t>керуючись Законом України «Про місце</w:t>
      </w:r>
      <w:r w:rsidR="006272F2">
        <w:rPr>
          <w:sz w:val="28"/>
          <w:szCs w:val="28"/>
        </w:rPr>
        <w:t xml:space="preserve">ве самоврядування в Україні» </w:t>
      </w:r>
      <w:bookmarkStart w:id="0" w:name="_GoBack"/>
      <w:bookmarkEnd w:id="0"/>
      <w:r>
        <w:rPr>
          <w:sz w:val="28"/>
          <w:szCs w:val="28"/>
        </w:rPr>
        <w:t>ст.26, 60 Господарським кодексом України, Цивільним кодексом України, Менська</w:t>
      </w:r>
      <w:r>
        <w:rPr>
          <w:sz w:val="28"/>
          <w:szCs w:val="28"/>
        </w:rPr>
        <w:t xml:space="preserve"> міська рада </w:t>
      </w:r>
    </w:p>
    <w:p w:rsidR="00676F1A" w:rsidRDefault="00676F1A">
      <w:pPr>
        <w:rPr>
          <w:sz w:val="28"/>
          <w:szCs w:val="28"/>
        </w:rPr>
      </w:pPr>
    </w:p>
    <w:p w:rsidR="00676F1A" w:rsidRDefault="001346E5">
      <w:pPr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5F279B" w:rsidRPr="005F279B" w:rsidRDefault="003243D3" w:rsidP="005F279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бюджету Менської міської об’єднаної громади на 2020 рік</w:t>
      </w:r>
      <w:r w:rsidR="001346E5">
        <w:rPr>
          <w:sz w:val="28"/>
          <w:szCs w:val="28"/>
        </w:rPr>
        <w:t>.</w:t>
      </w:r>
      <w:r>
        <w:rPr>
          <w:sz w:val="28"/>
          <w:szCs w:val="28"/>
        </w:rPr>
        <w:t xml:space="preserve"> За рахуно</w:t>
      </w:r>
      <w:r w:rsidR="005F279B">
        <w:rPr>
          <w:sz w:val="28"/>
          <w:szCs w:val="28"/>
        </w:rPr>
        <w:t>к вільного залишку загального фонду збільшити кошторисні призначення загального фонду Менської міської ради відповідно до прийнятої програми відшкодування різниці в тарифах за послуги з перевезення та захоронення твердих побутових відходів для населення міста Мена на 2020-2022 роки в сумі 200000,00 грн. (КПКВК 0116071 КЕКВ 2610+200000,00 грн.).</w:t>
      </w:r>
    </w:p>
    <w:p w:rsidR="00676F1A" w:rsidRDefault="001346E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</w:t>
      </w:r>
      <w:r>
        <w:rPr>
          <w:sz w:val="28"/>
          <w:szCs w:val="28"/>
        </w:rPr>
        <w:t xml:space="preserve"> покласти на заступника міського голови з питань діяльності виконкому </w:t>
      </w:r>
      <w:r w:rsidR="00000F2A">
        <w:rPr>
          <w:sz w:val="28"/>
          <w:szCs w:val="28"/>
        </w:rPr>
        <w:t>Вишняк</w:t>
      </w:r>
      <w:r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>Т.С.</w:t>
      </w:r>
    </w:p>
    <w:p w:rsidR="00676F1A" w:rsidRDefault="00676F1A">
      <w:pPr>
        <w:ind w:firstLine="708"/>
        <w:rPr>
          <w:sz w:val="28"/>
          <w:szCs w:val="28"/>
        </w:rPr>
      </w:pPr>
    </w:p>
    <w:p w:rsidR="00676F1A" w:rsidRDefault="00676F1A">
      <w:pPr>
        <w:ind w:firstLine="708"/>
        <w:rPr>
          <w:sz w:val="28"/>
          <w:szCs w:val="28"/>
        </w:rPr>
      </w:pPr>
    </w:p>
    <w:p w:rsidR="00676F1A" w:rsidRDefault="001346E5">
      <w:r>
        <w:rPr>
          <w:b/>
          <w:sz w:val="28"/>
          <w:szCs w:val="28"/>
        </w:rPr>
        <w:t>Міський голова                                                                             Г.А.Примаков</w:t>
      </w:r>
    </w:p>
    <w:p w:rsidR="00676F1A" w:rsidRDefault="001346E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676F1A" w:rsidRDefault="001346E5">
      <w:pPr>
        <w:ind w:left="5669"/>
        <w:jc w:val="both"/>
        <w:rPr>
          <w:szCs w:val="24"/>
        </w:rPr>
      </w:pPr>
      <w:r>
        <w:rPr>
          <w:szCs w:val="24"/>
        </w:rPr>
        <w:lastRenderedPageBreak/>
        <w:t>Додаток №1 до рішення 40 сесії сьомого скликання Менської міської ради від 03 липня 2020 року “</w:t>
      </w:r>
      <w:r>
        <w:rPr>
          <w:szCs w:val="28"/>
        </w:rPr>
        <w:t>Про надання в господарське відання для здійснення господарської діяльності К</w:t>
      </w:r>
      <w:proofErr w:type="spellStart"/>
      <w:r>
        <w:rPr>
          <w:szCs w:val="28"/>
        </w:rPr>
        <w:t>П</w:t>
      </w:r>
      <w:r>
        <w:rPr>
          <w:sz w:val="28"/>
          <w:szCs w:val="28"/>
          <w:lang w:eastAsia="ar-SA"/>
        </w:rPr>
        <w:t> </w:t>
      </w:r>
      <w:r>
        <w:rPr>
          <w:szCs w:val="28"/>
        </w:rPr>
        <w:t>“Менакомунпосл</w:t>
      </w:r>
      <w:proofErr w:type="spellEnd"/>
      <w:r>
        <w:rPr>
          <w:szCs w:val="28"/>
        </w:rPr>
        <w:t>уга” майна” №168</w:t>
      </w:r>
    </w:p>
    <w:p w:rsidR="00676F1A" w:rsidRDefault="001346E5">
      <w:pPr>
        <w:ind w:right="-1417"/>
        <w:jc w:val="center"/>
      </w:pPr>
      <w:r>
        <w:rPr>
          <w:sz w:val="16"/>
          <w:szCs w:val="16"/>
        </w:rPr>
        <w:t xml:space="preserve"> </w:t>
      </w:r>
    </w:p>
    <w:p w:rsidR="00676F1A" w:rsidRDefault="001346E5">
      <w:pPr>
        <w:jc w:val="center"/>
        <w:rPr>
          <w:sz w:val="28"/>
        </w:rPr>
      </w:pPr>
      <w:r>
        <w:rPr>
          <w:sz w:val="28"/>
          <w:szCs w:val="24"/>
        </w:rPr>
        <w:t>Перелік інших необоротних активів Менської ОТГ для передачі  в господарське відання КП «</w:t>
      </w:r>
      <w:proofErr w:type="spellStart"/>
      <w:r>
        <w:rPr>
          <w:sz w:val="28"/>
          <w:szCs w:val="24"/>
        </w:rPr>
        <w:t>Менакомунпослуга</w:t>
      </w:r>
      <w:proofErr w:type="spellEnd"/>
      <w:r>
        <w:rPr>
          <w:sz w:val="28"/>
          <w:szCs w:val="24"/>
        </w:rPr>
        <w:t>»</w:t>
      </w:r>
    </w:p>
    <w:p w:rsidR="00676F1A" w:rsidRDefault="00676F1A">
      <w:pPr>
        <w:jc w:val="center"/>
      </w:pPr>
    </w:p>
    <w:tbl>
      <w:tblPr>
        <w:tblW w:w="968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58"/>
        <w:gridCol w:w="1951"/>
        <w:gridCol w:w="776"/>
        <w:gridCol w:w="1276"/>
        <w:gridCol w:w="850"/>
        <w:gridCol w:w="1134"/>
        <w:gridCol w:w="1134"/>
        <w:gridCol w:w="1208"/>
      </w:tblGrid>
      <w:tr w:rsidR="00676F1A">
        <w:tc>
          <w:tcPr>
            <w:tcW w:w="398" w:type="dxa"/>
          </w:tcPr>
          <w:p w:rsidR="00676F1A" w:rsidRDefault="001346E5">
            <w:pPr>
              <w:jc w:val="center"/>
            </w:pPr>
            <w:r>
              <w:rPr>
                <w:szCs w:val="24"/>
              </w:rPr>
              <w:t>№ п/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958" w:type="dxa"/>
          </w:tcPr>
          <w:p w:rsidR="00676F1A" w:rsidRDefault="001346E5">
            <w:r>
              <w:rPr>
                <w:szCs w:val="24"/>
              </w:rPr>
              <w:t xml:space="preserve">Рік випуску чи дата </w:t>
            </w:r>
            <w:r>
              <w:t>придбання</w:t>
            </w:r>
          </w:p>
        </w:tc>
        <w:tc>
          <w:tcPr>
            <w:tcW w:w="1951" w:type="dxa"/>
          </w:tcPr>
          <w:p w:rsidR="00676F1A" w:rsidRDefault="001346E5">
            <w:r>
              <w:rPr>
                <w:szCs w:val="24"/>
              </w:rPr>
              <w:t>Назва об’єкта</w:t>
            </w:r>
          </w:p>
        </w:tc>
        <w:tc>
          <w:tcPr>
            <w:tcW w:w="776" w:type="dxa"/>
          </w:tcPr>
          <w:p w:rsidR="00676F1A" w:rsidRDefault="001346E5">
            <w:r>
              <w:rPr>
                <w:szCs w:val="24"/>
              </w:rPr>
              <w:t>Рахунок обліку</w:t>
            </w:r>
          </w:p>
        </w:tc>
        <w:tc>
          <w:tcPr>
            <w:tcW w:w="1276" w:type="dxa"/>
          </w:tcPr>
          <w:p w:rsidR="00676F1A" w:rsidRDefault="001346E5">
            <w:r>
              <w:rPr>
                <w:szCs w:val="24"/>
              </w:rPr>
              <w:t>Інвентар ний номер</w:t>
            </w:r>
          </w:p>
        </w:tc>
        <w:tc>
          <w:tcPr>
            <w:tcW w:w="850" w:type="dxa"/>
          </w:tcPr>
          <w:p w:rsidR="00676F1A" w:rsidRDefault="001346E5">
            <w:r>
              <w:rPr>
                <w:szCs w:val="24"/>
              </w:rPr>
              <w:t>Кількість (шт.)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Cs w:val="24"/>
              </w:rPr>
              <w:t xml:space="preserve">Ціна (грн.) </w:t>
            </w:r>
          </w:p>
        </w:tc>
        <w:tc>
          <w:tcPr>
            <w:tcW w:w="1134" w:type="dxa"/>
          </w:tcPr>
          <w:p w:rsidR="00676F1A" w:rsidRDefault="001346E5">
            <w:proofErr w:type="spellStart"/>
            <w:r>
              <w:rPr>
                <w:szCs w:val="24"/>
                <w:lang w:val="en-US"/>
              </w:rPr>
              <w:t>Балансова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вартість (грн.)</w:t>
            </w:r>
          </w:p>
        </w:tc>
        <w:tc>
          <w:tcPr>
            <w:tcW w:w="1208" w:type="dxa"/>
          </w:tcPr>
          <w:p w:rsidR="00676F1A" w:rsidRDefault="001346E5">
            <w:proofErr w:type="spellStart"/>
            <w:r>
              <w:rPr>
                <w:szCs w:val="24"/>
              </w:rPr>
              <w:t>Нараховано</w:t>
            </w:r>
            <w:proofErr w:type="spellEnd"/>
            <w:r>
              <w:rPr>
                <w:szCs w:val="24"/>
              </w:rPr>
              <w:t xml:space="preserve"> знос (грн.)</w:t>
            </w:r>
          </w:p>
        </w:tc>
      </w:tr>
      <w:tr w:rsidR="00676F1A">
        <w:trPr>
          <w:trHeight w:val="604"/>
        </w:trPr>
        <w:tc>
          <w:tcPr>
            <w:tcW w:w="39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76F1A" w:rsidRDefault="001346E5">
            <w:r>
              <w:rPr>
                <w:sz w:val="24"/>
                <w:szCs w:val="24"/>
              </w:rPr>
              <w:t>1 кв. 2017</w:t>
            </w:r>
          </w:p>
        </w:tc>
        <w:tc>
          <w:tcPr>
            <w:tcW w:w="1951" w:type="dxa"/>
          </w:tcPr>
          <w:p w:rsidR="00676F1A" w:rsidRDefault="001346E5">
            <w:r>
              <w:rPr>
                <w:sz w:val="24"/>
                <w:szCs w:val="24"/>
              </w:rPr>
              <w:t>Контейнерні майданчики</w:t>
            </w:r>
          </w:p>
        </w:tc>
        <w:tc>
          <w:tcPr>
            <w:tcW w:w="776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1276" w:type="dxa"/>
          </w:tcPr>
          <w:p w:rsidR="00676F1A" w:rsidRDefault="001346E5">
            <w:r>
              <w:rPr>
                <w:sz w:val="24"/>
                <w:szCs w:val="24"/>
              </w:rPr>
              <w:t>1113429-1113450</w:t>
            </w:r>
          </w:p>
        </w:tc>
        <w:tc>
          <w:tcPr>
            <w:tcW w:w="850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777,42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17103,24</w:t>
            </w:r>
          </w:p>
        </w:tc>
        <w:tc>
          <w:tcPr>
            <w:tcW w:w="120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8551,62</w:t>
            </w:r>
          </w:p>
        </w:tc>
      </w:tr>
      <w:tr w:rsidR="00676F1A">
        <w:tc>
          <w:tcPr>
            <w:tcW w:w="39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76F1A" w:rsidRDefault="001346E5">
            <w:r>
              <w:rPr>
                <w:sz w:val="24"/>
                <w:szCs w:val="24"/>
              </w:rPr>
              <w:t>1 кв. 2017</w:t>
            </w:r>
          </w:p>
        </w:tc>
        <w:tc>
          <w:tcPr>
            <w:tcW w:w="1951" w:type="dxa"/>
          </w:tcPr>
          <w:p w:rsidR="00676F1A" w:rsidRDefault="001346E5">
            <w:r>
              <w:rPr>
                <w:sz w:val="24"/>
                <w:szCs w:val="24"/>
              </w:rPr>
              <w:t>Контейнер для сміття/для збору полімерів/120</w:t>
            </w:r>
          </w:p>
        </w:tc>
        <w:tc>
          <w:tcPr>
            <w:tcW w:w="776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1276" w:type="dxa"/>
          </w:tcPr>
          <w:p w:rsidR="00676F1A" w:rsidRDefault="001346E5">
            <w:r>
              <w:rPr>
                <w:sz w:val="24"/>
                <w:szCs w:val="24"/>
              </w:rPr>
              <w:t>1113368-1113487</w:t>
            </w:r>
          </w:p>
        </w:tc>
        <w:tc>
          <w:tcPr>
            <w:tcW w:w="850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1180,00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23600,00</w:t>
            </w:r>
          </w:p>
        </w:tc>
        <w:tc>
          <w:tcPr>
            <w:tcW w:w="120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11800,00</w:t>
            </w:r>
          </w:p>
        </w:tc>
      </w:tr>
      <w:tr w:rsidR="00676F1A">
        <w:trPr>
          <w:trHeight w:val="949"/>
        </w:trPr>
        <w:tc>
          <w:tcPr>
            <w:tcW w:w="39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76F1A" w:rsidRDefault="001346E5"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 2017</w:t>
            </w:r>
          </w:p>
        </w:tc>
        <w:tc>
          <w:tcPr>
            <w:tcW w:w="1951" w:type="dxa"/>
          </w:tcPr>
          <w:p w:rsidR="00676F1A" w:rsidRDefault="001346E5">
            <w:r>
              <w:rPr>
                <w:sz w:val="24"/>
                <w:szCs w:val="24"/>
              </w:rPr>
              <w:t>Контейнер металевий для ТВП</w:t>
            </w:r>
          </w:p>
        </w:tc>
        <w:tc>
          <w:tcPr>
            <w:tcW w:w="776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1276" w:type="dxa"/>
          </w:tcPr>
          <w:p w:rsidR="00676F1A" w:rsidRDefault="001346E5">
            <w:r>
              <w:rPr>
                <w:sz w:val="24"/>
                <w:szCs w:val="24"/>
              </w:rPr>
              <w:t>1113512-1113531</w:t>
            </w:r>
          </w:p>
        </w:tc>
        <w:tc>
          <w:tcPr>
            <w:tcW w:w="850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1728,00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34560,00</w:t>
            </w:r>
          </w:p>
        </w:tc>
        <w:tc>
          <w:tcPr>
            <w:tcW w:w="1208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17280,00</w:t>
            </w:r>
          </w:p>
        </w:tc>
      </w:tr>
      <w:tr w:rsidR="00676F1A">
        <w:trPr>
          <w:trHeight w:val="567"/>
        </w:trPr>
        <w:tc>
          <w:tcPr>
            <w:tcW w:w="398" w:type="dxa"/>
          </w:tcPr>
          <w:p w:rsidR="00676F1A" w:rsidRDefault="00676F1A">
            <w:pPr>
              <w:jc w:val="center"/>
            </w:pPr>
          </w:p>
        </w:tc>
        <w:tc>
          <w:tcPr>
            <w:tcW w:w="958" w:type="dxa"/>
          </w:tcPr>
          <w:p w:rsidR="00676F1A" w:rsidRDefault="00676F1A"/>
        </w:tc>
        <w:tc>
          <w:tcPr>
            <w:tcW w:w="1951" w:type="dxa"/>
          </w:tcPr>
          <w:p w:rsidR="00676F1A" w:rsidRDefault="001346E5"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776" w:type="dxa"/>
          </w:tcPr>
          <w:p w:rsidR="00676F1A" w:rsidRDefault="001346E5"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76F1A" w:rsidRDefault="001346E5"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76F1A" w:rsidRDefault="001346E5">
            <w:pPr>
              <w:jc w:val="center"/>
            </w:pPr>
            <w:r>
              <w:rPr>
                <w:sz w:val="24"/>
                <w:szCs w:val="24"/>
              </w:rPr>
              <w:t>75263,24</w:t>
            </w:r>
          </w:p>
        </w:tc>
        <w:tc>
          <w:tcPr>
            <w:tcW w:w="1208" w:type="dxa"/>
          </w:tcPr>
          <w:p w:rsidR="00676F1A" w:rsidRDefault="001346E5">
            <w:r>
              <w:rPr>
                <w:sz w:val="24"/>
                <w:szCs w:val="24"/>
              </w:rPr>
              <w:t>37631,62</w:t>
            </w:r>
          </w:p>
        </w:tc>
      </w:tr>
    </w:tbl>
    <w:p w:rsidR="00676F1A" w:rsidRDefault="00676F1A">
      <w:pPr>
        <w:spacing w:after="200" w:line="276" w:lineRule="auto"/>
        <w:rPr>
          <w:rFonts w:eastAsia="Calibri"/>
          <w:b/>
          <w:sz w:val="28"/>
          <w:szCs w:val="28"/>
        </w:rPr>
      </w:pPr>
    </w:p>
    <w:sectPr w:rsidR="00676F1A">
      <w:pgSz w:w="11906" w:h="16838"/>
      <w:pgMar w:top="1134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E5" w:rsidRDefault="001346E5">
      <w:r>
        <w:separator/>
      </w:r>
    </w:p>
  </w:endnote>
  <w:endnote w:type="continuationSeparator" w:id="0">
    <w:p w:rsidR="001346E5" w:rsidRDefault="001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E5" w:rsidRDefault="001346E5">
      <w:r>
        <w:separator/>
      </w:r>
    </w:p>
  </w:footnote>
  <w:footnote w:type="continuationSeparator" w:id="0">
    <w:p w:rsidR="001346E5" w:rsidRDefault="0013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5F"/>
    <w:multiLevelType w:val="hybridMultilevel"/>
    <w:tmpl w:val="BF4E92B6"/>
    <w:lvl w:ilvl="0" w:tplc="EFCC2B42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EAB0EC1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2364160A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DED06486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C505D88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8EBA1058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51AED826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A79215C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1D86DCB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22D32B6C"/>
    <w:multiLevelType w:val="hybridMultilevel"/>
    <w:tmpl w:val="35182EBC"/>
    <w:lvl w:ilvl="0" w:tplc="2CC4AF50">
      <w:start w:val="1"/>
      <w:numFmt w:val="decimal"/>
      <w:lvlText w:val="%1."/>
      <w:lvlJc w:val="left"/>
      <w:pPr>
        <w:ind w:left="709" w:hanging="360"/>
      </w:pPr>
    </w:lvl>
    <w:lvl w:ilvl="1" w:tplc="0AACB394">
      <w:start w:val="1"/>
      <w:numFmt w:val="lowerLetter"/>
      <w:lvlText w:val="%2."/>
      <w:lvlJc w:val="left"/>
      <w:pPr>
        <w:ind w:left="1429" w:hanging="360"/>
      </w:pPr>
    </w:lvl>
    <w:lvl w:ilvl="2" w:tplc="CBBA2F8A">
      <w:start w:val="1"/>
      <w:numFmt w:val="lowerRoman"/>
      <w:lvlText w:val="%3."/>
      <w:lvlJc w:val="right"/>
      <w:pPr>
        <w:ind w:left="2149" w:hanging="180"/>
      </w:pPr>
    </w:lvl>
    <w:lvl w:ilvl="3" w:tplc="34E6B230">
      <w:start w:val="1"/>
      <w:numFmt w:val="decimal"/>
      <w:lvlText w:val="%4."/>
      <w:lvlJc w:val="left"/>
      <w:pPr>
        <w:ind w:left="2869" w:hanging="360"/>
      </w:pPr>
    </w:lvl>
    <w:lvl w:ilvl="4" w:tplc="82B01E84">
      <w:start w:val="1"/>
      <w:numFmt w:val="lowerLetter"/>
      <w:lvlText w:val="%5."/>
      <w:lvlJc w:val="left"/>
      <w:pPr>
        <w:ind w:left="3589" w:hanging="360"/>
      </w:pPr>
    </w:lvl>
    <w:lvl w:ilvl="5" w:tplc="27BEEAC8">
      <w:start w:val="1"/>
      <w:numFmt w:val="lowerRoman"/>
      <w:lvlText w:val="%6."/>
      <w:lvlJc w:val="right"/>
      <w:pPr>
        <w:ind w:left="4309" w:hanging="180"/>
      </w:pPr>
    </w:lvl>
    <w:lvl w:ilvl="6" w:tplc="AAB46836">
      <w:start w:val="1"/>
      <w:numFmt w:val="decimal"/>
      <w:lvlText w:val="%7."/>
      <w:lvlJc w:val="left"/>
      <w:pPr>
        <w:ind w:left="5029" w:hanging="360"/>
      </w:pPr>
    </w:lvl>
    <w:lvl w:ilvl="7" w:tplc="62F6DF5C">
      <w:start w:val="1"/>
      <w:numFmt w:val="lowerLetter"/>
      <w:lvlText w:val="%8."/>
      <w:lvlJc w:val="left"/>
      <w:pPr>
        <w:ind w:left="5749" w:hanging="360"/>
      </w:pPr>
    </w:lvl>
    <w:lvl w:ilvl="8" w:tplc="5E9043B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FA74D4A"/>
    <w:multiLevelType w:val="hybridMultilevel"/>
    <w:tmpl w:val="C0F28264"/>
    <w:lvl w:ilvl="0" w:tplc="D55CDDB2">
      <w:start w:val="3"/>
      <w:numFmt w:val="decimal"/>
      <w:lvlText w:val="%1."/>
      <w:lvlJc w:val="left"/>
      <w:pPr>
        <w:ind w:left="1068" w:hanging="360"/>
      </w:pPr>
    </w:lvl>
    <w:lvl w:ilvl="1" w:tplc="A4E42DC8">
      <w:start w:val="1"/>
      <w:numFmt w:val="lowerLetter"/>
      <w:lvlText w:val="%2."/>
      <w:lvlJc w:val="left"/>
      <w:pPr>
        <w:ind w:left="1788" w:hanging="360"/>
      </w:pPr>
    </w:lvl>
    <w:lvl w:ilvl="2" w:tplc="CB121D10">
      <w:start w:val="1"/>
      <w:numFmt w:val="lowerRoman"/>
      <w:lvlText w:val="%3."/>
      <w:lvlJc w:val="right"/>
      <w:pPr>
        <w:ind w:left="2508" w:hanging="180"/>
      </w:pPr>
    </w:lvl>
    <w:lvl w:ilvl="3" w:tplc="6B8C3B40">
      <w:start w:val="1"/>
      <w:numFmt w:val="decimal"/>
      <w:lvlText w:val="%4."/>
      <w:lvlJc w:val="left"/>
      <w:pPr>
        <w:ind w:left="3228" w:hanging="360"/>
      </w:pPr>
    </w:lvl>
    <w:lvl w:ilvl="4" w:tplc="78FCB8AE">
      <w:start w:val="1"/>
      <w:numFmt w:val="lowerLetter"/>
      <w:lvlText w:val="%5."/>
      <w:lvlJc w:val="left"/>
      <w:pPr>
        <w:ind w:left="3948" w:hanging="360"/>
      </w:pPr>
    </w:lvl>
    <w:lvl w:ilvl="5" w:tplc="6722F0A6">
      <w:start w:val="1"/>
      <w:numFmt w:val="lowerRoman"/>
      <w:lvlText w:val="%6."/>
      <w:lvlJc w:val="right"/>
      <w:pPr>
        <w:ind w:left="4668" w:hanging="180"/>
      </w:pPr>
    </w:lvl>
    <w:lvl w:ilvl="6" w:tplc="BB788626">
      <w:start w:val="1"/>
      <w:numFmt w:val="decimal"/>
      <w:lvlText w:val="%7."/>
      <w:lvlJc w:val="left"/>
      <w:pPr>
        <w:ind w:left="5388" w:hanging="360"/>
      </w:pPr>
    </w:lvl>
    <w:lvl w:ilvl="7" w:tplc="ED883FB2">
      <w:start w:val="1"/>
      <w:numFmt w:val="lowerLetter"/>
      <w:lvlText w:val="%8."/>
      <w:lvlJc w:val="left"/>
      <w:pPr>
        <w:ind w:left="6108" w:hanging="360"/>
      </w:pPr>
    </w:lvl>
    <w:lvl w:ilvl="8" w:tplc="D932CD1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036FC9"/>
    <w:multiLevelType w:val="hybridMultilevel"/>
    <w:tmpl w:val="7D98AAA2"/>
    <w:lvl w:ilvl="0" w:tplc="8474E8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1E4D19A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9572CCE2">
      <w:start w:val="3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9930640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824C0762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B810C28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7666A30E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8C23596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2FD20CAE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73E32C8D"/>
    <w:multiLevelType w:val="hybridMultilevel"/>
    <w:tmpl w:val="A3EC14A4"/>
    <w:lvl w:ilvl="0" w:tplc="4B9E3E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2AABDCA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84B80D04">
      <w:start w:val="4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9BD4B00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D5CEEF2C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EDDEF4C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46B26E4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46221E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356CE03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A"/>
    <w:rsid w:val="00000F2A"/>
    <w:rsid w:val="001346E5"/>
    <w:rsid w:val="00267099"/>
    <w:rsid w:val="003243D3"/>
    <w:rsid w:val="005F279B"/>
    <w:rsid w:val="006272F2"/>
    <w:rsid w:val="00676F1A"/>
    <w:rsid w:val="008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5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6">
    <w:name w:val="Маркери списку"/>
    <w:rPr>
      <w:rFonts w:ascii="OpenSymbol" w:eastAsia="OpenSymbol" w:hAnsi="OpenSymbol"/>
    </w:rPr>
  </w:style>
  <w:style w:type="character" w:customStyle="1" w:styleId="af7">
    <w:name w:val="Символ нумерації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afe"/>
    <w:uiPriority w:val="99"/>
    <w:semiHidden/>
    <w:unhideWhenUsed/>
    <w:rsid w:val="002670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6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5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6">
    <w:name w:val="Маркери списку"/>
    <w:rPr>
      <w:rFonts w:ascii="OpenSymbol" w:eastAsia="OpenSymbol" w:hAnsi="OpenSymbol"/>
    </w:rPr>
  </w:style>
  <w:style w:type="character" w:customStyle="1" w:styleId="af7">
    <w:name w:val="Символ нумерації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afe"/>
    <w:uiPriority w:val="99"/>
    <w:semiHidden/>
    <w:unhideWhenUsed/>
    <w:rsid w:val="002670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6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3</cp:revision>
  <dcterms:created xsi:type="dcterms:W3CDTF">2020-07-14T13:50:00Z</dcterms:created>
  <dcterms:modified xsi:type="dcterms:W3CDTF">2020-07-14T13:50:00Z</dcterms:modified>
</cp:coreProperties>
</file>