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4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9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0"/>
        <w:spacing w:after="0" w:afterAutospacing="0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277</w:t>
      </w:r>
      <w:r/>
    </w:p>
    <w:p>
      <w:pPr>
        <w:ind w:left="0" w:right="5103" w:firstLine="0"/>
        <w:jc w:val="both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анні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Блистівського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Сироїд Олени Олександрівни, Гринько Олександра Володимировича, Гринько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Володимира Григоровича, Гринько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Михайла 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2,00 га (кожному)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>
        <w:rPr>
          <w:rFonts w:ascii="Times New Roman" w:hAnsi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ктів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7423081000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03:000:1219                                                    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numPr>
          <w:ilvl w:val="0"/>
          <w:numId w:val="2"/>
        </w:numPr>
        <w:ind w:left="0" w:firstLine="851"/>
        <w:spacing w:after="0" w:afterAutospacing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Сироїд Олені Олександрівні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35"/>
        <w:numPr>
          <w:ilvl w:val="0"/>
          <w:numId w:val="2"/>
        </w:numPr>
        <w:ind w:left="0" w:firstLine="851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Гринько Олександру Володимировичу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2,00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/>
    </w:p>
    <w:p>
      <w:pPr>
        <w:pStyle w:val="535"/>
        <w:numPr>
          <w:ilvl w:val="0"/>
          <w:numId w:val="2"/>
        </w:numPr>
        <w:ind w:left="0" w:firstLine="851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Гринько Володимиру Григоровичу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2,00 га,</w:t>
      </w:r>
      <w:r/>
    </w:p>
    <w:p>
      <w:pPr>
        <w:pStyle w:val="535"/>
        <w:numPr>
          <w:ilvl w:val="0"/>
          <w:numId w:val="2"/>
        </w:numPr>
        <w:ind w:left="0" w:firstLine="851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Гринько  Михайла Володимировича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2,00 га.</w:t>
      </w:r>
      <w:r/>
    </w:p>
    <w:p>
      <w:pPr>
        <w:pStyle w:val="535"/>
        <w:ind w:left="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7423081000:03:000:1219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34,</w:t>
      </w:r>
      <w:r>
        <w:rPr>
          <w:rFonts w:ascii="Times New Roman" w:hAnsi="Times New Roman"/>
          <w:sz w:val="28"/>
          <w:szCs w:val="28"/>
          <w:lang w:val="uk-UA"/>
        </w:rPr>
        <w:t xml:space="preserve">2197 га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ст.134 Земельного кодексу України, включена </w:t>
      </w:r>
      <w:r>
        <w:rPr>
          <w:rFonts w:ascii="Times New Roman" w:hAnsi="Times New Roman"/>
          <w:sz w:val="28"/>
          <w:szCs w:val="28"/>
          <w:lang w:val="uk-UA"/>
        </w:rPr>
        <w:t xml:space="preserve">до переліку земельних ділянок, право оренди на які буде продано на земельних торгах.</w:t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spacing w:after="0" w:afterAutospacing="0"/>
        <w:tabs>
          <w:tab w:val="left" w:pos="694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spacing w:after="0" w:afterAutospacing="0"/>
        <w:tabs>
          <w:tab w:val="left" w:pos="694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4</cp:revision>
  <dcterms:created xsi:type="dcterms:W3CDTF">2020-06-09T13:17:00Z</dcterms:created>
  <dcterms:modified xsi:type="dcterms:W3CDTF">2020-07-17T14:20:46Z</dcterms:modified>
</cp:coreProperties>
</file>