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4"/>
        <w:jc w:val="center"/>
        <w:rPr>
          <w:rFonts w:ascii="Times New Roman" w:hAnsi="Times New Roman"/>
          <w:sz w:val="28"/>
          <w:szCs w:val="28"/>
          <w:lang w:eastAsia="ru-RU"/>
        </w:rPr>
      </w:pPr>
      <w:r/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3893" cy="752559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3892" cy="752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3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564"/>
        <w:jc w:val="center"/>
        <w:spacing w:lineRule="auto" w:line="24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УКРАЇНА</w:t>
      </w: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pStyle w:val="564"/>
        <w:jc w:val="center"/>
        <w:spacing w:lineRule="auto" w:line="24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МЕНСЬКА МІСЬКА РАДА</w:t>
      </w: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pStyle w:val="564"/>
        <w:jc w:val="center"/>
        <w:spacing w:lineRule="auto" w:line="24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pStyle w:val="564"/>
        <w:jc w:val="center"/>
        <w:spacing w:lineRule="auto" w:line="24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(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сорокова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сесія  сьомого скликання)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564"/>
        <w:jc w:val="center"/>
        <w:spacing w:lineRule="auto" w:line="24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spacing w:val="60"/>
          <w:sz w:val="28"/>
          <w:szCs w:val="28"/>
          <w:lang w:eastAsia="ru-RU"/>
        </w:rPr>
        <w:t xml:space="preserve">ПРОЕ</w:t>
      </w:r>
      <w:r>
        <w:rPr>
          <w:rFonts w:ascii="Times New Roman" w:hAnsi="Times New Roman"/>
          <w:b/>
          <w:bCs/>
          <w:spacing w:val="60"/>
          <w:sz w:val="28"/>
          <w:szCs w:val="28"/>
          <w:lang w:eastAsia="ru-RU"/>
        </w:rPr>
        <w:t xml:space="preserve">КТ </w:t>
      </w:r>
      <w:r>
        <w:rPr>
          <w:rFonts w:ascii="Times New Roman" w:hAnsi="Times New Roman"/>
          <w:b/>
          <w:bCs/>
          <w:spacing w:val="60"/>
          <w:sz w:val="28"/>
          <w:szCs w:val="28"/>
          <w:lang w:eastAsia="ru-RU"/>
        </w:rPr>
        <w:t xml:space="preserve">РІШЕННЯ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564"/>
        <w:spacing w:lineRule="auto" w:line="240" w:after="0"/>
        <w:tabs>
          <w:tab w:val="left" w:pos="4395" w:leader="none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 червня 2020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№</w:t>
      </w:r>
      <w:r>
        <w:rPr>
          <w:rFonts w:ascii="Times New Roman" w:hAnsi="Times New Roman"/>
          <w:sz w:val="28"/>
          <w:szCs w:val="28"/>
          <w:lang w:eastAsia="ru-RU"/>
        </w:rPr>
        <w:t xml:space="preserve">____</w:t>
      </w: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pStyle w:val="565"/>
        <w:ind w:left="0" w:right="5103" w:firstLine="0"/>
        <w:spacing w:before="240"/>
      </w:pPr>
      <w:r/>
      <w:bookmarkStart w:id="0" w:name="_Toc530682657"/>
      <w:r>
        <w:t xml:space="preserve">Про клопотання </w:t>
      </w:r>
      <w:r>
        <w:t xml:space="preserve">щодо надання згоди на безоплатну передачу у комунальну власність Менської міської об</w:t>
      </w:r>
      <w:r>
        <w:t xml:space="preserve">’єднаної </w:t>
      </w:r>
      <w:r>
        <w:t xml:space="preserve">тери</w:t>
      </w:r>
      <w:r>
        <w:t xml:space="preserve">торіальної</w:t>
      </w:r>
      <w:r>
        <w:t xml:space="preserve"> громади </w:t>
      </w:r>
      <w:bookmarkEnd w:id="0"/>
      <w:r>
        <w:t xml:space="preserve">спортивного комплексу по вул.Крилова, 4 в </w:t>
      </w:r>
      <w:r>
        <w:t xml:space="preserve">м.Мена Чернігівської області</w:t>
      </w:r>
      <w:r/>
    </w:p>
    <w:p>
      <w:pPr>
        <w:pStyle w:val="564"/>
        <w:ind w:firstLine="708"/>
        <w:jc w:val="both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p>
      <w:pPr>
        <w:pStyle w:val="564"/>
        <w:ind w:firstLine="708"/>
        <w:jc w:val="both"/>
        <w:spacing w:lineRule="auto" w:line="240" w:after="0"/>
        <w:rPr>
          <w:rFonts w:ascii="Times New Roman" w:hAnsi="Times New Roman"/>
          <w:lang w:eastAsia="zh-CN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В зв’язку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lang w:eastAsia="ru-RU"/>
        </w:rPr>
        <w:t xml:space="preserve">з </w:t>
      </w:r>
      <w:r>
        <w:rPr>
          <w:rFonts w:ascii="Times New Roman" w:hAnsi="Times New Roman" w:eastAsia="Times New Roman"/>
          <w:sz w:val="28"/>
          <w:lang w:eastAsia="ru-RU"/>
        </w:rPr>
        <w:t xml:space="preserve">необхідністю забезпечення прийнятних умов для нормального фізичного розвитку та занять футболом</w:t>
      </w:r>
      <w:r>
        <w:rPr>
          <w:rFonts w:ascii="Times New Roman" w:hAnsi="Times New Roman" w:eastAsia="Times New Roman"/>
          <w:sz w:val="28"/>
          <w:lang w:eastAsia="ru-RU"/>
        </w:rPr>
        <w:t xml:space="preserve"> в Менській громаді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керу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ючись ст.ст.26, 60 Закону України «Про місцеве самоврядування в Україні, Бюджетним кодексом України, Законом України «Про добровільн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е об’єднання територіальних громад», відповідно до </w:t>
      </w:r>
      <w:r>
        <w:rPr>
          <w:rFonts w:ascii="Times New Roman" w:hAnsi="Times New Roman"/>
          <w:sz w:val="28"/>
          <w:szCs w:val="28"/>
          <w:lang w:eastAsia="zh-CN"/>
        </w:rPr>
        <w:t xml:space="preserve">Положення пр</w:t>
      </w:r>
      <w:r>
        <w:rPr>
          <w:rFonts w:ascii="Times New Roman" w:hAnsi="Times New Roman"/>
          <w:sz w:val="28"/>
          <w:szCs w:val="28"/>
          <w:lang w:eastAsia="zh-CN"/>
        </w:rPr>
        <w:t xml:space="preserve">о порядок передачі об’єктів права спільної в</w:t>
      </w:r>
      <w:r>
        <w:rPr>
          <w:rFonts w:ascii="Times New Roman" w:hAnsi="Times New Roman"/>
          <w:sz w:val="28"/>
          <w:szCs w:val="28"/>
          <w:lang w:eastAsia="zh-CN"/>
        </w:rPr>
        <w:t xml:space="preserve">ласності територіальних громад сіл, селищ, міста Менського району, затвердженого рішенням 13 сесії 5 скликання Менської районної ради, враховуючи необхідність проведення спортивного комплексу до сучасних вимог до спортивних комплексів, які зможуть приймати спортивні змагання різного рівня, враховуючи </w:t>
      </w:r>
      <w:r>
        <w:rPr>
          <w:rFonts w:ascii="Times New Roman" w:hAnsi="Times New Roman"/>
          <w:sz w:val="28"/>
          <w:szCs w:val="28"/>
          <w:lang w:eastAsia="zh-CN"/>
        </w:rPr>
        <w:t xml:space="preserve">рекомендації спільного засідання постійних комісій Менська міська рада</w:t>
      </w:r>
      <w:r>
        <w:rPr>
          <w:rFonts w:ascii="Times New Roman" w:hAnsi="Times New Roman"/>
          <w:sz w:val="28"/>
          <w:szCs w:val="28"/>
          <w:lang w:eastAsia="zh-CN"/>
        </w:rPr>
      </w:r>
      <w:r/>
    </w:p>
    <w:p>
      <w:pPr>
        <w:pStyle w:val="564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 xml:space="preserve">ВИРІШИЛА: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564"/>
        <w:numPr>
          <w:ilvl w:val="0"/>
          <w:numId w:val="1"/>
        </w:numPr>
        <w:ind w:left="0" w:firstLine="709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eastAsia="Times New Roman"/>
          <w:color w:val="000000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Порушити перед Менською районною радою клопотання про безоплатну передачу із сп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ільної власності територіальних громад сіл, селищ, міста Менського району до власності Менської об’єднаної територіальної громади майна, що перебувають у спільній власності територіальних громад сіл, селищ, міста Менського району спортивного комплексу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за адресою м.Мена, вул. Крилова, 4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564"/>
        <w:numPr>
          <w:ilvl w:val="0"/>
          <w:numId w:val="1"/>
        </w:numPr>
        <w:ind w:left="0" w:firstLine="709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eastAsia="Times New Roman"/>
          <w:color w:val="000000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Надати згоду на прийняття до власності Менської об’єдн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аної територіальної громади зазначеного спортивного комплексу 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564"/>
        <w:numPr>
          <w:ilvl w:val="0"/>
          <w:numId w:val="1"/>
        </w:numPr>
        <w:ind w:left="0" w:firstLine="709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eastAsia="Times New Roman"/>
          <w:color w:val="000000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Контроль за виконанням рішення покласти на заступник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ів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міського голови з питань діяльності виконкому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4"/>
        <w:ind w:left="720" w:hanging="360"/>
      </w:pPr>
      <w:rPr>
        <w:sz w:val="28"/>
      </w:rPr>
    </w:lvl>
    <w:lvl w:ilvl="1">
      <w:start w:val="0"/>
      <w:numFmt w:val="bullet"/>
      <w:isLgl w:val="false"/>
      <w:suff w:val="tab"/>
      <w:lvlText w:val="-"/>
      <w:lvlJc w:val="left"/>
      <w:pPr>
        <w:pStyle w:val="564"/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pStyle w:val="56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6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6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6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6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6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64"/>
        <w:ind w:left="6480" w:hanging="180"/>
      </w:p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60"/>
    <w:next w:val="560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1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60"/>
    <w:next w:val="560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1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60"/>
    <w:next w:val="560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1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60"/>
    <w:next w:val="560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1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1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1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1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60"/>
    <w:next w:val="560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1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1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60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paragraph" w:styleId="564">
    <w:name w:val="Обычный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5">
    <w:name w:val="Заголовок 1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8"/>
      <w:szCs w:val="28"/>
      <w:u w:val="none"/>
      <w:vertAlign w:val="baseline"/>
      <w:rtl w:val="false"/>
      <w:cs w:val="false"/>
      <w:lang w:val="uk-UA" w:bidi="ar-SA" w:eastAsia="ru-RU"/>
    </w:rPr>
    <w:pPr>
      <w:contextualSpacing w:val="false"/>
      <w:ind w:left="0" w:right="4959" w:firstLine="0"/>
      <w:jc w:val="both"/>
      <w:keepLines/>
      <w:keepNext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3</cp:revision>
  <dcterms:created xsi:type="dcterms:W3CDTF">2019-03-29T20:09:00Z</dcterms:created>
  <dcterms:modified xsi:type="dcterms:W3CDTF">2020-06-17T15:18:20Z</dcterms:modified>
</cp:coreProperties>
</file>