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620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6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bidi="ar-SA" w:eastAsia="ru-RU"/>
        </w:rPr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128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Ігнатенко В,Н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Дубовик І.В., </w:t>
      </w:r>
      <w:r>
        <w:rPr>
          <w:rFonts w:ascii="Times New Roman" w:hAnsi="Times New Roman"/>
          <w:sz w:val="28"/>
          <w:szCs w:val="28"/>
          <w:lang w:val="uk-UA"/>
        </w:rPr>
        <w:t xml:space="preserve">Агейченко О.А., </w:t>
      </w:r>
      <w:r>
        <w:rPr>
          <w:rFonts w:ascii="Times New Roman" w:hAnsi="Times New Roman"/>
          <w:sz w:val="28"/>
          <w:szCs w:val="28"/>
          <w:lang w:val="uk-UA"/>
        </w:rPr>
        <w:t xml:space="preserve">Сороки Н.М.,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площею по 2,00 га. кожному,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надання</w:t>
      </w:r>
      <w:r>
        <w:rPr>
          <w:rFonts w:ascii="Times New Roman" w:hAnsi="Times New Roman"/>
          <w:sz w:val="28"/>
          <w:szCs w:val="28"/>
        </w:rPr>
        <w:t xml:space="preserve"> дозволів</w:t>
      </w:r>
      <w:r>
        <w:rPr>
          <w:rFonts w:ascii="Times New Roman" w:hAnsi="Times New Roman"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Ігнатенко Володимир Назарович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463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Дубовик Іванна 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Агейченко Олександр Андрійович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7423081000:03:000:1219;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Сорока Ніна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звязку з прийнятим рішенням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28 сесії сьомого скликання від 25 березня 2019 року за № 81 п.4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rPr>
      <w:sz w:val="22"/>
      <w:lang w:eastAsia="ar-SA"/>
    </w:rPr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>
    <w:name w:val="HTML Preformatted"/>
    <w:basedOn w:val="388"/>
    <w:link w:val="46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2" w:customStyle="1">
    <w:name w:val="rvts23"/>
  </w:style>
  <w:style w:type="character" w:styleId="463" w:customStyle="1">
    <w:name w:val="Стандартный HTML Знак"/>
    <w:link w:val="460"/>
    <w:rPr>
      <w:rFonts w:ascii="Courier New" w:hAnsi="Courier New" w:eastAsia="Times New Roman"/>
    </w:rPr>
  </w:style>
  <w:style w:type="paragraph" w:styleId="464" w:customStyle="1">
    <w:name w:val="Титулка"/>
    <w:basedOn w:val="38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5">
    <w:name w:val="Strong"/>
    <w:rPr>
      <w:b/>
      <w:bCs/>
    </w:rPr>
  </w:style>
  <w:style w:type="character" w:styleId="466">
    <w:name w:val="annotation reference"/>
    <w:basedOn w:val="398"/>
    <w:uiPriority w:val="99"/>
    <w:semiHidden/>
    <w:unhideWhenUsed/>
    <w:rPr>
      <w:sz w:val="16"/>
      <w:szCs w:val="16"/>
    </w:rPr>
  </w:style>
  <w:style w:type="paragraph" w:styleId="467">
    <w:name w:val="annotation text"/>
    <w:basedOn w:val="388"/>
    <w:link w:val="468"/>
    <w:uiPriority w:val="99"/>
    <w:semiHidden/>
    <w:unhideWhenUsed/>
    <w:rPr>
      <w:szCs w:val="20"/>
    </w:rPr>
  </w:style>
  <w:style w:type="character" w:styleId="468" w:customStyle="1">
    <w:name w:val="Текст примечания Знак"/>
    <w:basedOn w:val="398"/>
    <w:link w:val="467"/>
    <w:uiPriority w:val="99"/>
    <w:semiHidden/>
    <w:rPr>
      <w:szCs w:val="20"/>
    </w:rPr>
  </w:style>
  <w:style w:type="paragraph" w:styleId="469">
    <w:name w:val="annotation subject"/>
    <w:basedOn w:val="467"/>
    <w:next w:val="467"/>
    <w:link w:val="470"/>
    <w:uiPriority w:val="99"/>
    <w:semiHidden/>
    <w:unhideWhenUsed/>
    <w:rPr>
      <w:b/>
      <w:bCs/>
    </w:rPr>
  </w:style>
  <w:style w:type="character" w:styleId="470" w:customStyle="1">
    <w:name w:val="Тема примечания Знак"/>
    <w:basedOn w:val="468"/>
    <w:link w:val="469"/>
    <w:uiPriority w:val="99"/>
    <w:semiHidden/>
    <w:rPr>
      <w:b/>
      <w:bCs/>
      <w:szCs w:val="20"/>
    </w:rPr>
  </w:style>
  <w:style w:type="paragraph" w:styleId="471">
    <w:name w:val="Balloon Text"/>
    <w:basedOn w:val="388"/>
    <w:link w:val="4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72" w:customStyle="1">
    <w:name w:val="Текст выноски Знак"/>
    <w:basedOn w:val="398"/>
    <w:link w:val="47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4</cp:revision>
  <dcterms:created xsi:type="dcterms:W3CDTF">2020-02-24T14:07:00Z</dcterms:created>
  <dcterms:modified xsi:type="dcterms:W3CDTF">2020-03-05T10:26:38Z</dcterms:modified>
</cp:coreProperties>
</file>