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>
        <w:rPr>
          <w:sz w:val="28"/>
        </w:rPr>
      </w:r>
    </w:p>
    <w:p>
      <w:pPr>
        <w:pStyle w:val="389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восьма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397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 лютого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126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>
              <w:rPr>
                <w:b/>
                <w:sz w:val="28"/>
              </w:rPr>
              <w:t xml:space="preserve">землеустрою по встановленню </w:t>
            </w:r>
            <w:r>
              <w:rPr>
                <w:b/>
                <w:sz w:val="28"/>
              </w:rPr>
              <w:t xml:space="preserve">меж земельних ділянок на території </w:t>
            </w:r>
            <w:r>
              <w:rPr>
                <w:b/>
                <w:sz w:val="28"/>
              </w:rPr>
              <w:t xml:space="preserve">Менської об’єднаної територіальної громади</w:t>
            </w:r>
            <w:r>
              <w:rPr>
                <w:sz w:val="28"/>
              </w:rPr>
            </w:r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заяви </w:t>
      </w:r>
      <w:r>
        <w:rPr>
          <w:color w:val="000000"/>
          <w:sz w:val="28"/>
          <w:szCs w:val="28"/>
        </w:rPr>
        <w:t xml:space="preserve">власникі</w:t>
      </w:r>
      <w:r>
        <w:rPr>
          <w:color w:val="000000"/>
          <w:sz w:val="28"/>
          <w:szCs w:val="28"/>
        </w:rPr>
        <w:t xml:space="preserve">в земельних часток (паїв) щодо </w:t>
      </w:r>
      <w:r>
        <w:rPr>
          <w:color w:val="000000"/>
          <w:sz w:val="28"/>
          <w:szCs w:val="28"/>
        </w:rPr>
        <w:t xml:space="preserve">виділення їм в натурі (на місцевості) земельних ділянок </w:t>
      </w:r>
      <w:r>
        <w:rPr>
          <w:sz w:val="28"/>
        </w:rPr>
        <w:t xml:space="preserve">відповідно до розробленої проє</w:t>
      </w:r>
      <w:r>
        <w:rPr>
          <w:sz w:val="28"/>
        </w:rPr>
        <w:t xml:space="preserve">ктно-</w:t>
      </w:r>
      <w:r>
        <w:rPr>
          <w:sz w:val="28"/>
        </w:rPr>
        <w:t xml:space="preserve">технічної</w:t>
      </w:r>
      <w:r>
        <w:rPr>
          <w:sz w:val="28"/>
        </w:rPr>
        <w:t xml:space="preserve"> документації по</w:t>
      </w:r>
      <w:r>
        <w:rPr>
          <w:sz w:val="28"/>
          <w:szCs w:val="28"/>
        </w:rPr>
        <w:t xml:space="preserve"> паюванню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ім. Куйбишева за межами с. Дягова,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КСГП «Зоря» за межами с. Семенівка, </w:t>
      </w:r>
      <w:r>
        <w:rPr>
          <w:sz w:val="28"/>
          <w:szCs w:val="28"/>
        </w:rPr>
        <w:t xml:space="preserve">КСГП «Родина» за межами с. Бірківка,</w:t>
      </w:r>
      <w:r>
        <w:rPr>
          <w:sz w:val="28"/>
          <w:szCs w:val="28"/>
        </w:rPr>
        <w:t xml:space="preserve"> КСГП «Праця» за межами с. Стольне,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«Іскра» за межами с. Ліски, </w:t>
      </w:r>
      <w:r>
        <w:rPr>
          <w:sz w:val="28"/>
          <w:szCs w:val="28"/>
        </w:rPr>
        <w:t xml:space="preserve">КСП ім.Т.Г. Шевченка за межами смт. Макошине, </w:t>
      </w:r>
      <w:r>
        <w:rPr>
          <w:sz w:val="28"/>
          <w:szCs w:val="28"/>
        </w:rPr>
        <w:t xml:space="preserve">керуючись Законом України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порядок виділення в натурі (на</w:t>
      </w:r>
      <w:r>
        <w:rPr>
          <w:sz w:val="28"/>
          <w:szCs w:val="28"/>
        </w:rPr>
        <w:t xml:space="preserve"> місцевості) земельних ділянок </w:t>
      </w:r>
      <w:r>
        <w:rPr>
          <w:sz w:val="28"/>
          <w:szCs w:val="28"/>
        </w:rPr>
        <w:t xml:space="preserve">власникам земельних часток (паїв)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 громадянам, власникам сертифікатів, на виготовлення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 xml:space="preserve">для виділення їх в натурі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підставі</w:t>
      </w:r>
      <w:r>
        <w:rPr>
          <w:sz w:val="28"/>
          <w:szCs w:val="28"/>
        </w:rPr>
        <w:t xml:space="preserve"> сертифікатів на право на земельну частку (пай) для ведення то</w:t>
      </w:r>
      <w:r>
        <w:rPr>
          <w:sz w:val="28"/>
          <w:szCs w:val="28"/>
        </w:rPr>
        <w:t xml:space="preserve">варного сільськогосподарського </w:t>
      </w:r>
      <w:r>
        <w:rPr>
          <w:sz w:val="28"/>
          <w:szCs w:val="28"/>
        </w:rPr>
        <w:t xml:space="preserve">виробництва на території Менського району: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Дягова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4"/>
        </w:rPr>
      </w:pPr>
      <w:r>
        <w:rPr>
          <w:sz w:val="28"/>
          <w:szCs w:val="28"/>
        </w:rPr>
        <w:t xml:space="preserve">Максименко Микола Миколайович</w:t>
      </w:r>
      <w:r>
        <w:rPr>
          <w:sz w:val="28"/>
          <w:szCs w:val="28"/>
        </w:rPr>
        <w:tab/>
        <w:t xml:space="preserve">ЧН № 0278819 - </w:t>
      </w:r>
      <w:r>
        <w:rPr>
          <w:b w:val="false"/>
          <w:sz w:val="28"/>
          <w:szCs w:val="24"/>
        </w:rPr>
        <w:t xml:space="preserve">сіножать/пасовище</w:t>
      </w:r>
      <w:r>
        <w:rPr>
          <w:b w:val="false"/>
          <w:sz w:val="28"/>
          <w:szCs w:val="24"/>
        </w:rPr>
        <w:t xml:space="preserve"> </w:t>
      </w:r>
      <w:r>
        <w:rPr>
          <w:b w:val="false"/>
          <w:sz w:val="28"/>
          <w:szCs w:val="24"/>
        </w:rPr>
        <w:t xml:space="preserve">– </w:t>
      </w:r>
      <w:r>
        <w:rPr>
          <w:sz w:val="28"/>
          <w:szCs w:val="24"/>
        </w:rPr>
        <w:t xml:space="preserve">свідоцтво про право на спадщину за законом від 16.12.2018, спадкова справа №322/2017, зареєстровано в реєстрі за №2626.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Семенівка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Дворниченко </w:t>
      </w:r>
      <w:r>
        <w:rPr>
          <w:sz w:val="28"/>
          <w:szCs w:val="28"/>
        </w:rPr>
        <w:t xml:space="preserve">Василь Степанович</w:t>
      </w:r>
      <w:r>
        <w:rPr>
          <w:sz w:val="28"/>
          <w:szCs w:val="28"/>
        </w:rPr>
        <w:tab/>
        <w:t xml:space="preserve">ЧН № 0223171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Лойченко </w:t>
      </w:r>
      <w:r>
        <w:rPr>
          <w:sz w:val="28"/>
          <w:szCs w:val="28"/>
        </w:rPr>
        <w:t xml:space="preserve">Олена Степанівна</w:t>
      </w:r>
      <w:r>
        <w:rPr>
          <w:sz w:val="28"/>
          <w:szCs w:val="28"/>
        </w:rPr>
        <w:tab/>
        <w:t xml:space="preserve">ЧН № 0223171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Дворниченк</w:t>
      </w:r>
      <w:r>
        <w:rPr>
          <w:sz w:val="28"/>
          <w:szCs w:val="28"/>
        </w:rPr>
        <w:t xml:space="preserve">о Василь Степанович</w:t>
      </w:r>
      <w:r>
        <w:rPr>
          <w:sz w:val="28"/>
          <w:szCs w:val="28"/>
        </w:rPr>
        <w:tab/>
        <w:t xml:space="preserve">ЧН № 0223170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Лойчен</w:t>
      </w:r>
      <w:r>
        <w:rPr>
          <w:sz w:val="28"/>
          <w:szCs w:val="28"/>
        </w:rPr>
        <w:t xml:space="preserve">ко Олена Степанівна</w:t>
      </w:r>
      <w:r>
        <w:rPr>
          <w:sz w:val="28"/>
          <w:szCs w:val="28"/>
        </w:rPr>
        <w:tab/>
        <w:t xml:space="preserve">ЧН № 0223170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Катерина Іванівна</w:t>
      </w:r>
      <w:r>
        <w:rPr>
          <w:sz w:val="28"/>
          <w:szCs w:val="28"/>
        </w:rPr>
        <w:tab/>
        <w:t xml:space="preserve">ЧН № 0223506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Гурін Людмила Олексіївна</w:t>
      </w:r>
      <w:r>
        <w:rPr>
          <w:sz w:val="28"/>
          <w:szCs w:val="28"/>
        </w:rPr>
        <w:tab/>
        <w:t xml:space="preserve">ЧН № 0223527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Ларкіна Любов Григорівна</w:t>
      </w:r>
      <w:r>
        <w:rPr>
          <w:sz w:val="28"/>
          <w:szCs w:val="28"/>
        </w:rPr>
        <w:tab/>
        <w:t xml:space="preserve">ЧН № 0223568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Бірківка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омель Микола Степанович</w:t>
      </w:r>
      <w:r>
        <w:rPr>
          <w:sz w:val="28"/>
          <w:szCs w:val="28"/>
        </w:rPr>
        <w:tab/>
        <w:t xml:space="preserve">ЧН № 0223864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Стольне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Стасюк</w:t>
      </w:r>
      <w:r>
        <w:rPr>
          <w:sz w:val="28"/>
          <w:szCs w:val="28"/>
        </w:rPr>
        <w:t xml:space="preserve"> Людмила Іванівна</w:t>
      </w:r>
      <w:r>
        <w:rPr>
          <w:sz w:val="28"/>
          <w:szCs w:val="28"/>
        </w:rPr>
        <w:tab/>
        <w:t xml:space="preserve">ЧН № 0265404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Гамза Ніна Василівна</w:t>
      </w:r>
      <w:r>
        <w:rPr>
          <w:sz w:val="28"/>
          <w:szCs w:val="28"/>
        </w:rPr>
        <w:tab/>
        <w:t xml:space="preserve">РН № 952630</w:t>
      </w:r>
      <w:r>
        <w:rPr>
          <w:sz w:val="28"/>
        </w:rPr>
      </w:r>
    </w:p>
    <w:p>
      <w:pPr>
        <w:jc w:val="both"/>
        <w:tabs>
          <w:tab w:val="left" w:pos="709" w:leader="none"/>
        </w:tabs>
        <w:rPr>
          <w:b/>
          <w:sz w:val="28"/>
          <w:szCs w:val="16"/>
        </w:rPr>
      </w:pPr>
      <w:r>
        <w:rPr>
          <w:b/>
          <w:sz w:val="28"/>
          <w:szCs w:val="16"/>
        </w:rPr>
        <w:tab/>
      </w:r>
      <w:r>
        <w:rPr>
          <w:b/>
          <w:sz w:val="28"/>
          <w:szCs w:val="28"/>
        </w:rPr>
        <w:t xml:space="preserve">за межами с. Ліски:</w:t>
      </w:r>
      <w:r>
        <w:rPr>
          <w:sz w:val="28"/>
        </w:rPr>
      </w:r>
    </w:p>
    <w:p>
      <w:pPr>
        <w:jc w:val="both"/>
        <w:tabs>
          <w:tab w:val="left" w:pos="709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</w:t>
      </w:r>
      <w:r>
        <w:rPr>
          <w:sz w:val="28"/>
          <w:szCs w:val="28"/>
        </w:rPr>
        <w:t xml:space="preserve">рищепа Світлана Петрівна</w:t>
      </w:r>
      <w:r>
        <w:rPr>
          <w:sz w:val="28"/>
          <w:szCs w:val="28"/>
        </w:rPr>
        <w:tab/>
        <w:t xml:space="preserve">ЧН № 0101550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4"/>
        </w:rPr>
      </w:pPr>
      <w:r>
        <w:rPr>
          <w:sz w:val="28"/>
          <w:szCs w:val="28"/>
        </w:rPr>
        <w:t xml:space="preserve">Бушак </w:t>
      </w:r>
      <w:r>
        <w:rPr>
          <w:sz w:val="28"/>
          <w:szCs w:val="28"/>
        </w:rPr>
        <w:t xml:space="preserve">Парасковія Іванівна</w:t>
      </w:r>
      <w:r>
        <w:rPr>
          <w:sz w:val="28"/>
          <w:szCs w:val="28"/>
        </w:rPr>
        <w:tab/>
        <w:t xml:space="preserve">ЧН № 0101096 </w:t>
      </w:r>
      <w:r>
        <w:rPr>
          <w:sz w:val="28"/>
          <w:szCs w:val="28"/>
        </w:rPr>
        <w:t xml:space="preserve">– </w:t>
      </w:r>
      <w:r>
        <w:rPr>
          <w:sz w:val="28"/>
          <w:szCs w:val="24"/>
        </w:rPr>
        <w:t xml:space="preserve">свідоцтво про пра</w:t>
      </w:r>
      <w:r>
        <w:rPr>
          <w:sz w:val="28"/>
          <w:szCs w:val="24"/>
        </w:rPr>
        <w:t xml:space="preserve">во на спадщину за законом від 29.01.2020, спадкова справа №815/2003</w:t>
      </w:r>
      <w:r>
        <w:rPr>
          <w:sz w:val="28"/>
          <w:szCs w:val="24"/>
        </w:rPr>
        <w:t xml:space="preserve">, </w:t>
      </w:r>
      <w:r>
        <w:rPr>
          <w:sz w:val="28"/>
          <w:szCs w:val="24"/>
        </w:rPr>
        <w:t xml:space="preserve">зареєстровано в реєстрі за №4-203</w:t>
      </w:r>
      <w:r>
        <w:rPr>
          <w:sz w:val="28"/>
          <w:szCs w:val="24"/>
        </w:rPr>
        <w:t xml:space="preserve">.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смт. Макошине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абич Катерина Олександрівна</w:t>
      </w:r>
      <w:r>
        <w:rPr>
          <w:sz w:val="28"/>
          <w:szCs w:val="28"/>
        </w:rPr>
        <w:tab/>
        <w:t xml:space="preserve">ЧН № 0169948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азій Лідія Іванівна</w:t>
      </w:r>
      <w:r>
        <w:rPr>
          <w:sz w:val="28"/>
          <w:szCs w:val="28"/>
        </w:rPr>
        <w:tab/>
        <w:t xml:space="preserve">ЧН № 0169756</w:t>
      </w:r>
      <w:r>
        <w:rPr>
          <w:sz w:val="28"/>
        </w:rPr>
      </w:r>
    </w:p>
    <w:p>
      <w:pPr>
        <w:ind w:firstLine="720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>
        <w:rPr>
          <w:sz w:val="28"/>
        </w:rPr>
      </w:r>
    </w:p>
    <w:p>
      <w:pPr>
        <w:ind w:firstLine="720"/>
        <w:jc w:val="both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284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7371" w:leader="none"/>
        </w:tabs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/>
          <w:b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0"/>
    <w:link w:val="38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0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0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0"/>
    <w:link w:val="40"/>
    <w:uiPriority w:val="99"/>
  </w:style>
  <w:style w:type="paragraph" w:styleId="42">
    <w:name w:val="Footer"/>
    <w:basedOn w:val="38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0"/>
    <w:link w:val="42"/>
    <w:uiPriority w:val="99"/>
  </w:style>
  <w:style w:type="table" w:styleId="44">
    <w:name w:val="Table Grid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0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89">
    <w:name w:val="Heading 1"/>
    <w:basedOn w:val="388"/>
    <w:next w:val="388"/>
    <w:link w:val="393"/>
    <w:qFormat/>
    <w:uiPriority w:val="99"/>
    <w:rPr>
      <w:b/>
      <w:sz w:val="32"/>
    </w:rPr>
    <w:pPr>
      <w:jc w:val="center"/>
      <w:keepNext/>
      <w:outlineLvl w:val="0"/>
    </w:pPr>
  </w:style>
  <w:style w:type="character" w:styleId="390" w:default="1">
    <w:name w:val="Default Paragraph Font"/>
    <w:uiPriority w:val="99"/>
    <w:semiHidden/>
  </w:style>
  <w:style w:type="table" w:styleId="3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2" w:default="1">
    <w:name w:val="No List"/>
    <w:uiPriority w:val="99"/>
    <w:semiHidden/>
    <w:unhideWhenUsed/>
  </w:style>
  <w:style w:type="character" w:styleId="393" w:customStyle="1">
    <w:name w:val="Заголовок 1 Знак"/>
    <w:basedOn w:val="390"/>
    <w:link w:val="38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4">
    <w:name w:val="HTML Preformatted"/>
    <w:basedOn w:val="388"/>
    <w:link w:val="39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5" w:customStyle="1">
    <w:name w:val="rvts23"/>
    <w:basedOn w:val="390"/>
    <w:uiPriority w:val="99"/>
    <w:rPr>
      <w:rFonts w:cs="Times New Roman"/>
    </w:rPr>
  </w:style>
  <w:style w:type="character" w:styleId="396" w:customStyle="1">
    <w:name w:val="Стандартний HTML Знак"/>
    <w:basedOn w:val="390"/>
    <w:link w:val="394"/>
    <w:uiPriority w:val="99"/>
    <w:rPr>
      <w:rFonts w:ascii="Courier New" w:hAnsi="Courier New" w:cs="Courier New"/>
    </w:rPr>
  </w:style>
  <w:style w:type="paragraph" w:styleId="397" w:customStyle="1">
    <w:name w:val="Титулка"/>
    <w:basedOn w:val="38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398">
    <w:name w:val="Balloon Text"/>
    <w:basedOn w:val="388"/>
    <w:link w:val="39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399" w:customStyle="1">
    <w:name w:val="Текст у виносці Знак"/>
    <w:basedOn w:val="390"/>
    <w:link w:val="398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3</cp:revision>
  <dcterms:created xsi:type="dcterms:W3CDTF">2020-02-29T17:49:00Z</dcterms:created>
  <dcterms:modified xsi:type="dcterms:W3CDTF">2020-02-29T17:49:43Z</dcterms:modified>
</cp:coreProperties>
</file>