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8"/>
          <w:lang w:bidi="ar-SA" w:eastAsia="uk-UA"/>
        </w:rPr>
      </w:r>
      <w:r>
        <w:rPr>
          <w:b/>
          <w:bCs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525050"/>
                <wp:effectExtent l="6350" t="6350" r="6350" b="635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23874" cy="525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41.3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397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(тридцять </w:t>
      </w:r>
      <w:r>
        <w:rPr>
          <w:b/>
          <w:bCs/>
          <w:color w:val="000000"/>
          <w:sz w:val="28"/>
          <w:szCs w:val="28"/>
          <w:lang w:val="ru-RU"/>
        </w:rPr>
        <w:t xml:space="preserve">восьма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  <w:r>
        <w:rPr>
          <w:sz w:val="28"/>
        </w:rPr>
      </w:r>
    </w:p>
    <w:p>
      <w:pPr>
        <w:pStyle w:val="471"/>
        <w:rPr>
          <w:sz w:val="28"/>
          <w:szCs w:val="28"/>
        </w:rPr>
      </w:pPr>
      <w:r>
        <w:rPr>
          <w:sz w:val="28"/>
        </w:rPr>
        <w:t xml:space="preserve">РІШЕНН</w:t>
      </w:r>
      <w:r>
        <w:rPr>
          <w:sz w:val="28"/>
        </w:rPr>
        <w:t xml:space="preserve">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93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left="0" w:right="4989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населених пунктів Стольненського старостинського округу</w:t>
      </w:r>
      <w:r>
        <w:rPr>
          <w:b/>
          <w:bCs/>
          <w:sz w:val="28"/>
          <w:szCs w:val="28"/>
        </w:rPr>
        <w:t xml:space="preserve"> Менської об’єднаної територіальної громади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судові рішення</w:t>
      </w:r>
      <w:r>
        <w:rPr>
          <w:b/>
          <w:bCs/>
          <w:sz w:val="28"/>
          <w:szCs w:val="28"/>
        </w:rPr>
        <w:t xml:space="preserve">)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</w:t>
      </w:r>
      <w:r>
        <w:rPr>
          <w:sz w:val="28"/>
          <w:szCs w:val="28"/>
        </w:rPr>
        <w:t xml:space="preserve"> Стегно В.Г.</w:t>
      </w:r>
      <w:r>
        <w:rPr>
          <w:sz w:val="28"/>
          <w:szCs w:val="28"/>
        </w:rPr>
        <w:t xml:space="preserve">, відповідно до рішення Чернігівського окружного адміністративного суду від 13.02.2020 року, </w:t>
      </w:r>
      <w:r>
        <w:rPr>
          <w:sz w:val="28"/>
          <w:szCs w:val="28"/>
        </w:rPr>
        <w:t xml:space="preserve"> Богдан Т.С.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21.02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Бойкачова А.М.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17.02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Моргун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24.02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Супрун Г.Г,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13.02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Бредюка С.Г.,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17.02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Полового С.І.,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17.02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Базиленко Г.В.,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12.02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Пасічника К.В.,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21.02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Дяченко М.Д.,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13.02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Зінченка С.В.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18.02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Бредюк 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24.02.2020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Стеченка С.Г.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.01.2020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затвердження проектів</w:t>
      </w:r>
      <w:r>
        <w:rPr>
          <w:sz w:val="28"/>
          <w:szCs w:val="28"/>
        </w:rPr>
        <w:t xml:space="preserve"> землеустрою та передачі земельн</w:t>
      </w:r>
      <w:r>
        <w:rPr>
          <w:sz w:val="28"/>
          <w:szCs w:val="28"/>
        </w:rPr>
        <w:t xml:space="preserve">их ділянок для ведення особистого селянського господарства у власність,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  <w:r>
        <w:rPr>
          <w:sz w:val="28"/>
        </w:rPr>
      </w:r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pStyle w:val="472"/>
        <w:numPr>
          <w:ilvl w:val="0"/>
          <w:numId w:val="4"/>
        </w:numPr>
        <w:ind w:left="0"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Затвердити проекти землеустрою щодо відведення земельних ділянок по передачі у приватну власність для ведення особистого селянського господарства</w:t>
      </w:r>
      <w:r>
        <w:rPr>
          <w:b w:val="false"/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</w:r>
      <w:bookmarkStart w:id="1" w:name="_Hlk25316990"/>
      <w:r>
        <w:rPr>
          <w:sz w:val="28"/>
          <w:szCs w:val="28"/>
        </w:rPr>
        <w:t xml:space="preserve">гр. Стегно Валентині Григорівні  площею 2,0000 га, кадастровий № 7423088500:07:000:0171,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Богдан Тетяні Станіславівні  площею 2,0000 га, кадастровий № 7423088500:07:000:0177,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Бойкачову Андрію Миколайовичу  площею 2,0000 га, кадастровий № 7423088500:07:000:0190,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Моргуну Андрію Григоровичу  площею 2,0000 га, кадастровий № 7423088500:07:000:0169,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Супрун Ганні Григорівні площею 1,4378 га, кадастровий № 7423088500:07:000:0160,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Бредюку Сергію Григоровичу площею 2,0000 га, кадастровий № 7423088500:07:000:0176,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Половому Сергію Івановичу площею 2,0000 га, кадастровий № 7423088500:07:000:0165,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Базиленко Ганні Вікторівні площею 2,0000 га, кадастровий № 7423088500:07:000:0159,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Пасічнику Костянтину Володимировичу</w:t>
      </w:r>
      <w:r>
        <w:rPr>
          <w:sz w:val="28"/>
          <w:szCs w:val="28"/>
        </w:rPr>
        <w:t xml:space="preserve"> площею 2,0000 га, кадастровий № 7423088500:0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:000:019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Лазарівка</w:t>
      </w:r>
      <w:r>
        <w:rPr>
          <w:sz w:val="28"/>
          <w:szCs w:val="28"/>
        </w:rPr>
        <w:t xml:space="preserve">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Дяченко Марії Дмитрівні площею 2,0000 га, кадастровий № 7423088500:07:000:0198,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Зінченк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Станіслав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площею 2,0000 га, кадастровий № 7423088500:07:000:02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Бредюк Тетяні Анатоліївні площею 2,0000 га, кадастровий № 7423088500:07:000:0207,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Стеченко Сергію Григоровичу площею 2,0000 га, кадастровий № 7423088500:08:000:0210, за межами с. </w:t>
      </w:r>
      <w:r>
        <w:rPr>
          <w:sz w:val="28"/>
          <w:szCs w:val="28"/>
        </w:rPr>
        <w:t xml:space="preserve">Лазарівка</w:t>
      </w:r>
      <w:r>
        <w:rPr>
          <w:sz w:val="28"/>
          <w:szCs w:val="28"/>
        </w:rPr>
        <w:t xml:space="preserve">.</w:t>
      </w:r>
      <w:bookmarkEnd w:id="1"/>
      <w:r/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472"/>
        <w:numPr>
          <w:ilvl w:val="0"/>
          <w:numId w:val="4"/>
        </w:numPr>
        <w:ind w:left="0"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Передати у приватну власність земельні ділянки, для ведення особистого селянського господарства</w:t>
      </w:r>
      <w:r>
        <w:rPr>
          <w:b w:val="false"/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Стегно Валентині Григорівні  площею 2,0000 га, кадастровий № 7423088500:07:000:0171,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Богдан Тетяні Станіславівні  площею 2,0000 га, кадастровий № 7423088500:07:000:0177,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Бойкачову Андрію Миколайовичу  площею 2,0000 га, кадастровий № 7423088500:07:000:0190,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Моргуну Андрію Григоровичу  площею 2,0000 га, кадастровий № 7423088500:07:000:0169,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Супрун Ганні Григорівні площею 1,4378 га, кадастровий № 7423088500:07:000:0160,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Бредюку Сергію Григоровичу площею 2,0000 га, кадастровий № 7423088500:07:000:0176,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Половому Сергію Івановичу площею 2,0000 га, кадастровий № 7423088500:07:000:0165,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Базиленко Ганні Вікторівні площею 2,0000 га, кадастровий № 7423088500:07:000:0159,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Пасічнику Костянтину Володимировичу площею 2,0000 га, кадастровий № 7423088500:08:000:0192, за межами с. Лазарівка,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Дяченко Марії Дмитрівні площею 2,0000 га, кадастровий № 7423088500:07:000:0198,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Зінченку Станіславу Валентиновичу площею 2,0000 га, кадастровий № 7423088500:07:000:0218,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Бредюк Тетяні Анатоліївні площею 2,0000 га, кадастровий № 7423088500:07:000:0207, за межами с. Стольне,</w:t>
      </w:r>
      <w:r>
        <w:rPr>
          <w:sz w:val="28"/>
        </w:rPr>
      </w:r>
    </w:p>
    <w:p>
      <w:pPr>
        <w:pStyle w:val="472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Стеченко Сергію Григоровичу площею 2,0000 га, кадастровий № 7423088500:08:000:0210, за межами с. Лазарівка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472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472"/>
        <w:numPr>
          <w:ilvl w:val="0"/>
          <w:numId w:val="4"/>
        </w:numPr>
        <w:ind w:left="0" w:firstLine="0"/>
        <w:jc w:val="both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pStyle w:val="418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418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472"/>
        <w:ind w:left="0"/>
        <w:tabs>
          <w:tab w:val="left" w:pos="7088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p>
      <w:pPr>
        <w:pStyle w:val="41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765" w:right="851" w:bottom="907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6"/>
    <w:link w:val="39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6"/>
    <w:link w:val="419"/>
    <w:uiPriority w:val="10"/>
    <w:rPr>
      <w:sz w:val="48"/>
      <w:szCs w:val="48"/>
    </w:rPr>
  </w:style>
  <w:style w:type="character" w:styleId="35">
    <w:name w:val="Subtitle Char"/>
    <w:basedOn w:val="406"/>
    <w:link w:val="421"/>
    <w:uiPriority w:val="11"/>
    <w:rPr>
      <w:sz w:val="24"/>
      <w:szCs w:val="24"/>
    </w:rPr>
  </w:style>
  <w:style w:type="character" w:styleId="37">
    <w:name w:val="Quote Char"/>
    <w:link w:val="423"/>
    <w:uiPriority w:val="29"/>
    <w:rPr>
      <w:i/>
    </w:rPr>
  </w:style>
  <w:style w:type="character" w:styleId="39">
    <w:name w:val="Intense Quote Char"/>
    <w:link w:val="425"/>
    <w:uiPriority w:val="30"/>
    <w:rPr>
      <w:i/>
    </w:rPr>
  </w:style>
  <w:style w:type="character" w:styleId="41">
    <w:name w:val="Header Char"/>
    <w:basedOn w:val="406"/>
    <w:link w:val="427"/>
    <w:uiPriority w:val="99"/>
  </w:style>
  <w:style w:type="character" w:styleId="43">
    <w:name w:val="Footer Char"/>
    <w:basedOn w:val="406"/>
    <w:link w:val="429"/>
    <w:uiPriority w:val="99"/>
  </w:style>
  <w:style w:type="table" w:styleId="45">
    <w:name w:val="Table Grid Light"/>
    <w:basedOn w:val="4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4"/>
    <w:uiPriority w:val="99"/>
    <w:rPr>
      <w:sz w:val="18"/>
    </w:rPr>
  </w:style>
  <w:style w:type="paragraph" w:styleId="396" w:default="1">
    <w:name w:val="Normal"/>
    <w:rPr>
      <w:sz w:val="20"/>
      <w:szCs w:val="20"/>
      <w:lang w:val="uk-UA" w:bidi="ru-RU"/>
    </w:rPr>
  </w:style>
  <w:style w:type="paragraph" w:styleId="397">
    <w:name w:val="Heading 1"/>
    <w:basedOn w:val="396"/>
    <w:link w:val="409"/>
    <w:rPr>
      <w:b/>
      <w:bCs/>
      <w:sz w:val="32"/>
      <w:szCs w:val="32"/>
    </w:rPr>
    <w:pPr>
      <w:jc w:val="center"/>
      <w:keepNext/>
      <w:outlineLvl w:val="0"/>
    </w:pPr>
  </w:style>
  <w:style w:type="paragraph" w:styleId="398">
    <w:name w:val="Heading 2"/>
    <w:basedOn w:val="396"/>
    <w:next w:val="396"/>
    <w:link w:val="4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next w:val="396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next w:val="396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Заголовок 1 Знак1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Заголовок 2 Знак"/>
    <w:basedOn w:val="406"/>
    <w:link w:val="398"/>
    <w:uiPriority w:val="9"/>
    <w:rPr>
      <w:rFonts w:ascii="Arial" w:hAnsi="Arial" w:cs="Arial" w:eastAsia="Arial"/>
      <w:sz w:val="34"/>
    </w:rPr>
  </w:style>
  <w:style w:type="character" w:styleId="411" w:customStyle="1">
    <w:name w:val="Заголовок 3 Знак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Заголовок 4 Знак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Заголовок 5 Знак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Заголовок 6 Знак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Заголовок 7 Знак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Заголовок 8 Знак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Заголовок 9 Знак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No Spacing"/>
    <w:qFormat/>
    <w:uiPriority w:val="1"/>
  </w:style>
  <w:style w:type="paragraph" w:styleId="419">
    <w:name w:val="Title"/>
    <w:basedOn w:val="396"/>
    <w:next w:val="396"/>
    <w:link w:val="4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0" w:customStyle="1">
    <w:name w:val="Заголовок Знак"/>
    <w:basedOn w:val="406"/>
    <w:link w:val="419"/>
    <w:uiPriority w:val="10"/>
    <w:rPr>
      <w:sz w:val="48"/>
      <w:szCs w:val="48"/>
    </w:rPr>
  </w:style>
  <w:style w:type="paragraph" w:styleId="421">
    <w:name w:val="Subtitle"/>
    <w:basedOn w:val="396"/>
    <w:next w:val="396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 w:customStyle="1">
    <w:name w:val="Подзаголовок Знак"/>
    <w:basedOn w:val="406"/>
    <w:link w:val="421"/>
    <w:uiPriority w:val="11"/>
    <w:rPr>
      <w:sz w:val="24"/>
      <w:szCs w:val="24"/>
    </w:rPr>
  </w:style>
  <w:style w:type="paragraph" w:styleId="423">
    <w:name w:val="Quote"/>
    <w:basedOn w:val="396"/>
    <w:next w:val="396"/>
    <w:link w:val="424"/>
    <w:qFormat/>
    <w:uiPriority w:val="29"/>
    <w:rPr>
      <w:i/>
    </w:rPr>
    <w:pPr>
      <w:ind w:left="720" w:right="720"/>
    </w:pPr>
  </w:style>
  <w:style w:type="character" w:styleId="424" w:customStyle="1">
    <w:name w:val="Цитата 2 Знак"/>
    <w:link w:val="423"/>
    <w:uiPriority w:val="29"/>
    <w:rPr>
      <w:i/>
    </w:rPr>
  </w:style>
  <w:style w:type="paragraph" w:styleId="425">
    <w:name w:val="Intense Quote"/>
    <w:basedOn w:val="396"/>
    <w:next w:val="396"/>
    <w:link w:val="42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 w:customStyle="1">
    <w:name w:val="Выделенная цитата Знак"/>
    <w:link w:val="425"/>
    <w:uiPriority w:val="30"/>
    <w:rPr>
      <w:i/>
    </w:rPr>
  </w:style>
  <w:style w:type="paragraph" w:styleId="427">
    <w:name w:val="Header"/>
    <w:basedOn w:val="396"/>
    <w:link w:val="4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8" w:customStyle="1">
    <w:name w:val="Верхний колонтитул Знак"/>
    <w:basedOn w:val="406"/>
    <w:link w:val="427"/>
    <w:uiPriority w:val="99"/>
  </w:style>
  <w:style w:type="paragraph" w:styleId="429">
    <w:name w:val="Footer"/>
    <w:basedOn w:val="396"/>
    <w:link w:val="4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0" w:customStyle="1">
    <w:name w:val="Нижний колонтитул Знак"/>
    <w:basedOn w:val="406"/>
    <w:link w:val="429"/>
    <w:uiPriority w:val="99"/>
  </w:style>
  <w:style w:type="table" w:styleId="431">
    <w:name w:val="Table Grid"/>
    <w:basedOn w:val="40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2" w:customStyle="1">
    <w:name w:val="Lined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3" w:customStyle="1">
    <w:name w:val="Lined - Accent 1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4" w:customStyle="1">
    <w:name w:val="Lined - Accent 2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5" w:customStyle="1">
    <w:name w:val="Lined - Accent 3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6" w:customStyle="1">
    <w:name w:val="Lined - Accent 4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7" w:customStyle="1">
    <w:name w:val="Lined - Accent 5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8" w:customStyle="1">
    <w:name w:val="Lined - Accent 6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9" w:customStyle="1">
    <w:name w:val="Bordered"/>
    <w:basedOn w:val="407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40" w:customStyle="1">
    <w:name w:val="Bordered - Accent 1"/>
    <w:basedOn w:val="407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41" w:customStyle="1">
    <w:name w:val="Bordered - Accent 2"/>
    <w:basedOn w:val="407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42" w:customStyle="1">
    <w:name w:val="Bordered - Accent 3"/>
    <w:basedOn w:val="407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3" w:customStyle="1">
    <w:name w:val="Bordered - Accent 4"/>
    <w:basedOn w:val="407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4" w:customStyle="1">
    <w:name w:val="Bordered - Accent 5"/>
    <w:basedOn w:val="407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5" w:customStyle="1">
    <w:name w:val="Bordered - Accent 6"/>
    <w:basedOn w:val="407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6" w:customStyle="1">
    <w:name w:val="Bordered &amp; Lined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7" w:customStyle="1">
    <w:name w:val="Bordered &amp; Lined - Accent 1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8" w:customStyle="1">
    <w:name w:val="Bordered &amp; Lined - Accent 2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9" w:customStyle="1">
    <w:name w:val="Bordered &amp; Lined - Accent 3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50" w:customStyle="1">
    <w:name w:val="Bordered &amp; Lined - Accent 4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1" w:customStyle="1">
    <w:name w:val="Bordered &amp; Lined - Accent 5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2" w:customStyle="1">
    <w:name w:val="Bordered &amp; Lined - Accent 6"/>
    <w:basedOn w:val="40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3">
    <w:name w:val="Hyperlink"/>
    <w:uiPriority w:val="99"/>
    <w:unhideWhenUsed/>
    <w:rPr>
      <w:color w:val="0000FF" w:themeColor="hyperlink"/>
      <w:u w:val="single"/>
    </w:rPr>
  </w:style>
  <w:style w:type="paragraph" w:styleId="454">
    <w:name w:val="footnote text"/>
    <w:basedOn w:val="396"/>
    <w:link w:val="455"/>
    <w:uiPriority w:val="99"/>
    <w:semiHidden/>
    <w:unhideWhenUsed/>
    <w:rPr>
      <w:sz w:val="18"/>
    </w:rPr>
    <w:pPr>
      <w:spacing w:after="40"/>
    </w:pPr>
  </w:style>
  <w:style w:type="character" w:styleId="455" w:customStyle="1">
    <w:name w:val="Текст сноски Знак"/>
    <w:link w:val="454"/>
    <w:uiPriority w:val="99"/>
    <w:rPr>
      <w:sz w:val="18"/>
    </w:rPr>
  </w:style>
  <w:style w:type="character" w:styleId="456">
    <w:name w:val="footnote reference"/>
    <w:basedOn w:val="406"/>
    <w:uiPriority w:val="99"/>
    <w:unhideWhenUsed/>
    <w:rPr>
      <w:vertAlign w:val="superscript"/>
    </w:rPr>
  </w:style>
  <w:style w:type="paragraph" w:styleId="457">
    <w:name w:val="toc 1"/>
    <w:basedOn w:val="396"/>
    <w:next w:val="396"/>
    <w:uiPriority w:val="39"/>
    <w:unhideWhenUsed/>
    <w:pPr>
      <w:spacing w:after="57"/>
    </w:pPr>
  </w:style>
  <w:style w:type="paragraph" w:styleId="458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459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460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461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462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463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464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465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466">
    <w:name w:val="TOC Heading"/>
    <w:uiPriority w:val="39"/>
    <w:unhideWhenUsed/>
  </w:style>
  <w:style w:type="paragraph" w:styleId="467">
    <w:name w:val="HTML Preformatted"/>
    <w:basedOn w:val="396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8" w:customStyle="1">
    <w:name w:val="Заголовок 1 Знак"/>
    <w:basedOn w:val="406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469" w:customStyle="1">
    <w:name w:val="rvts23"/>
    <w:basedOn w:val="406"/>
    <w:rPr>
      <w:rFonts w:ascii="Times New Roman" w:hAnsi="Times New Roman" w:cs="Times New Roman" w:eastAsia="Times New Roman"/>
      <w:sz w:val="24"/>
    </w:rPr>
  </w:style>
  <w:style w:type="character" w:styleId="470" w:customStyle="1">
    <w:name w:val="Стандартний HTML Знак"/>
    <w:basedOn w:val="406"/>
    <w:rPr>
      <w:rFonts w:ascii="Courier New" w:hAnsi="Courier New" w:cs="Courier New" w:eastAsia="Courier New"/>
      <w:sz w:val="24"/>
    </w:rPr>
  </w:style>
  <w:style w:type="paragraph" w:styleId="471" w:customStyle="1">
    <w:name w:val="Титулка"/>
    <w:basedOn w:val="396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472">
    <w:name w:val="List Paragraph"/>
    <w:basedOn w:val="396"/>
    <w:qFormat/>
    <w:uiPriority w:val="34"/>
    <w:rPr>
      <w:sz w:val="22"/>
      <w:szCs w:val="22"/>
      <w:lang w:bidi="ar-SA"/>
    </w:rPr>
    <w:pPr>
      <w:contextualSpacing w:val="true"/>
      <w:ind w:left="720"/>
    </w:pPr>
  </w:style>
  <w:style w:type="paragraph" w:styleId="473">
    <w:name w:val="Balloon Text"/>
    <w:basedOn w:val="396"/>
    <w:link w:val="474"/>
    <w:uiPriority w:val="99"/>
    <w:semiHidden/>
    <w:unhideWhenUsed/>
    <w:rPr>
      <w:rFonts w:ascii="Arial" w:hAnsi="Arial" w:cs="Arial"/>
      <w:sz w:val="18"/>
      <w:szCs w:val="18"/>
    </w:rPr>
  </w:style>
  <w:style w:type="character" w:styleId="474" w:customStyle="1">
    <w:name w:val="Текст выноски Знак"/>
    <w:basedOn w:val="406"/>
    <w:link w:val="473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Dmytro Bazylenko</dc:creator>
  <cp:lastModifiedBy>Adminov Admin </cp:lastModifiedBy>
  <cp:revision>6</cp:revision>
  <dcterms:created xsi:type="dcterms:W3CDTF">2020-02-25T06:08:00Z</dcterms:created>
  <dcterms:modified xsi:type="dcterms:W3CDTF">2020-02-26T14:51:16Z</dcterms:modified>
</cp:coreProperties>
</file>