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Україна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МЕНСЬКА  МІСЬКА   РАДА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Менського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району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Чернігівської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області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тридцять шоста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сесія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сьомого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скликання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)</w:t>
      </w:r>
      <w:r>
        <w:rPr>
          <w:sz w:val="28"/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ІШЕННЯ </w:t>
      </w:r>
      <w:r>
        <w:rPr>
          <w:sz w:val="28"/>
          <w:lang w:val="uk-UA"/>
        </w:rPr>
      </w:r>
    </w:p>
    <w:p>
      <w:pPr>
        <w:jc w:val="both"/>
        <w:spacing w:lineRule="auto" w:line="240" w:after="0" w:afterAutospacing="0" w:before="0" w:beforeAutospacing="0"/>
        <w:widowControl w:val="off"/>
        <w:tabs>
          <w:tab w:val="left" w:pos="4394" w:leader="none"/>
        </w:tabs>
        <w:rPr>
          <w:rFonts w:ascii="Times New Roman" w:hAnsi="Times New Roman" w:cs="Times New Roman" w:eastAsia="Lucida Sans Unicode"/>
          <w:sz w:val="28"/>
          <w:szCs w:val="28"/>
          <w:lang w:val="uk-UA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26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2019 року</w:t>
        <w:tab/>
        <w:t xml:space="preserve">№661</w:t>
      </w:r>
      <w:r>
        <w:rPr>
          <w:sz w:val="28"/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 </w:t>
      </w:r>
      <w:r>
        <w:rPr>
          <w:sz w:val="28"/>
          <w:lang w:val="uk-UA"/>
        </w:rPr>
      </w:r>
    </w:p>
    <w:p>
      <w:pPr>
        <w:ind w:left="0" w:right="5103" w:hanging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ді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» на 2020 -2022 ро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ки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об'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єднаної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громади</w:t>
      </w:r>
      <w:r>
        <w:rPr>
          <w:sz w:val="28"/>
          <w:lang w:val="uk-UA"/>
        </w:rPr>
      </w:r>
    </w:p>
    <w:p>
      <w:pPr>
        <w:ind w:right="496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r>
      <w:r>
        <w:rPr>
          <w:lang w:val="uk-UA"/>
        </w:rPr>
      </w:r>
    </w:p>
    <w:p>
      <w:pPr>
        <w:ind w:right="-183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ч.1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казу Президента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27.03.1998 № 222 «Про заходи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Державної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цільової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затвердженої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постановою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Міні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стр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05.10.1998 № 1597,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рада</w:t>
      </w:r>
      <w:r>
        <w:rPr>
          <w:lang w:val="uk-UA"/>
        </w:rPr>
      </w:r>
    </w:p>
    <w:p>
      <w:pPr>
        <w:ind w:right="-1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ВИРІШИЛА:</w:t>
      </w:r>
      <w:r>
        <w:rPr>
          <w:lang w:val="uk-UA"/>
        </w:rPr>
      </w:r>
    </w:p>
    <w:p>
      <w:pPr>
        <w:ind w:right="81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Затвердити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на 2020 -2022 роки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ОТГ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згідно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). </w:t>
      </w:r>
      <w:r>
        <w:rPr>
          <w:lang w:val="uk-UA"/>
        </w:rPr>
      </w:r>
    </w:p>
    <w:p>
      <w:pPr>
        <w:ind w:left="708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Менській </w:t>
      </w:r>
      <w:r>
        <w:rPr>
          <w:rFonts w:ascii="Times New Roman" w:hAnsi="Times New Roman"/>
          <w:sz w:val="28"/>
          <w:szCs w:val="28"/>
          <w:lang w:val="uk-UA"/>
        </w:rPr>
        <w:t xml:space="preserve">міській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раді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lang w:val="uk-UA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цієї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2)При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формуванні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об’єднаної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на 2020</w:t>
      </w:r>
      <w:r>
        <w:rPr>
          <w:rFonts w:ascii="Times New Roman" w:hAnsi="Times New Roman"/>
          <w:sz w:val="28"/>
          <w:szCs w:val="28"/>
          <w:lang w:val="uk-UA"/>
        </w:rPr>
        <w:t xml:space="preserve">-2022 роки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кошти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виходячи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можливостей</w:t>
      </w:r>
      <w:r>
        <w:rPr>
          <w:rFonts w:ascii="Times New Roman" w:hAnsi="Times New Roman"/>
          <w:sz w:val="28"/>
          <w:szCs w:val="28"/>
          <w:lang w:val="uk-UA"/>
        </w:rPr>
        <w:t xml:space="preserve"> бюджету.</w:t>
      </w:r>
      <w:r>
        <w:rPr>
          <w:lang w:val="uk-UA"/>
        </w:rPr>
      </w:r>
    </w:p>
    <w:p>
      <w:pPr>
        <w:pStyle w:val="180"/>
        <w:ind w:left="0" w:firstLine="708"/>
        <w:jc w:val="both"/>
        <w:spacing w:lineRule="auto" w:line="240" w:after="0" w:afterAutospacing="0" w:before="0" w:beforeAutospacing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заступника міського голови з питань виконавчого комітету Менської м 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іської ради згідно з розподілом обов’язків.</w:t>
      </w:r>
      <w:r>
        <w:rPr>
          <w:lang w:val="uk-UA"/>
        </w:rPr>
      </w:r>
    </w:p>
    <w:p>
      <w:pPr>
        <w:ind w:left="708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72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tabs>
          <w:tab w:val="left" w:pos="6094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Міський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голова</w:t>
        <w:tab/>
        <w:t xml:space="preserve">Г.А. Примаков</w:t>
      </w:r>
      <w:r>
        <w:rPr>
          <w:lang w:val="uk-UA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lang w:val="uk-UA"/>
        </w:rPr>
      </w:r>
    </w:p>
    <w:p>
      <w:pPr>
        <w:ind w:left="5812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до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сесії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Менсь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26 грудня 2019 року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№661 «Про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Програму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 на 2020-2022  ро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ки на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’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єднаної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val="uk-UA" w:eastAsia="ru-RU"/>
        </w:rPr>
        <w:t xml:space="preserve">»</w:t>
      </w:r>
      <w:r>
        <w:rPr>
          <w:lang w:val="uk-UA"/>
        </w:rPr>
      </w:r>
    </w:p>
    <w:p>
      <w:pPr>
        <w:ind w:left="4956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36"/>
          <w:szCs w:val="36"/>
          <w:lang w:val="uk-UA" w:eastAsia="ru-RU"/>
        </w:rPr>
        <w:t xml:space="preserve">ПРОГРАМА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» на 2020 - 2022 роки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об’єднаної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громади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ind w:firstLine="113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Мена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2019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val="uk-UA" w:eastAsia="ru-RU"/>
        </w:rPr>
        <w:t xml:space="preserve">ік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ПАСПОРТ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"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" </w:t>
      </w:r>
      <w:r>
        <w:rPr>
          <w:lang w:val="uk-UA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на 2020-2022 роки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об’єднаної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громади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tbl>
      <w:tblPr>
        <w:tblW w:w="0" w:type="auto"/>
        <w:tblCellSpacing w:w="0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485"/>
        <w:gridCol w:w="6693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Назва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ідтримки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розвитку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особистого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селянського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господарства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"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Власний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дім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" на 2020-2022 роки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території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об’єднаної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громади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ідстави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для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розробки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ind w:left="-66"/>
              <w:jc w:val="both"/>
              <w:spacing w:lineRule="auto" w:line="240" w:after="0" w:afterAutospacing="0" w:before="0" w:beforeAutospacing="0"/>
              <w:tabs>
                <w:tab w:val="left" w:pos="138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Указ Президента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27.03.1998 № 222 «Про заходи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ідтримки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», постанови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Кабінету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Міністрів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України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22.04.1997 № 376 «Про заходи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щодо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підтримки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03.08.1998 № 1211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положення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про порядок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формування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використання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коштів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фондів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ідтримки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05.10.1998 № 1597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затвердження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правил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довгострокових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кредитів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забудовникам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17.07.2015 № 516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змін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до правил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довгострокових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кредитів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забудовникам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від</w:t>
            </w:r>
            <w:r>
              <w:rPr>
                <w:rFonts w:ascii="Times New Roman" w:hAnsi="Times New Roman" w:cs="Times New Roman" w:eastAsia="Times New Roman"/>
                <w:color w:val="000000"/>
                <w:sz w:val="29"/>
                <w:szCs w:val="29"/>
                <w:shd w:val="clear" w:color="auto" w:fill="FFFFFF"/>
                <w:lang w:val="uk-UA" w:eastAsia="ru-RU"/>
              </w:rPr>
              <w:t xml:space="preserve"> 24.02.2016 №115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«Про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внесення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змін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до правил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довгострокових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кредитів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забудовникам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селі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».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Замовник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Менська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міська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рада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Мета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Реалізація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державної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політики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частині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розв’язання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проблем шляхом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збільшення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обсягів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дуального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сільській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місцевості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Завдання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нарощування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обсягів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шляхом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фінансової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ідтримки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індивідуальним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забудовникам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;</w:t>
            </w:r>
            <w:r>
              <w:rPr>
                <w:lang w:val="uk-UA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збільшення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кількості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введеного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експлуатацію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завдяки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першочерговому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інвестуванню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незавершених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будівництвом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житлових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будинків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високим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ступенем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будівельної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готовності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;</w:t>
            </w:r>
            <w:r>
              <w:rPr>
                <w:lang w:val="uk-UA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іальна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орієнтованість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будівництва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першочергове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надання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кредитів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багатодітним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та молодим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сім’ям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працівникам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соціальної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сфери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міста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;</w:t>
            </w:r>
            <w:r>
              <w:rPr>
                <w:lang w:val="uk-UA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вдосконалення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планування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територій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метою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вирішення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вибору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оформлення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земельних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ділянок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проектів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будівель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тощо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реалізації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2020-2022 роки</w:t>
            </w:r>
            <w:r>
              <w:rPr>
                <w:lang w:val="uk-UA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Основні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державний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бюджет;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обласний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бюджет;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районний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бюджет;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бюджет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Менської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ОТГ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</w:tc>
      </w:tr>
      <w:tr>
        <w:trPr>
          <w:tblCellSpacing w:w="0" w:type="dxa"/>
          <w:trHeight w:val="100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кошті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бюджету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громади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- 350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- 25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  <w:p>
            <w:pPr>
              <w:numPr>
                <w:ilvl w:val="0"/>
                <w:numId w:val="1"/>
              </w:numPr>
              <w:ind w:left="0" w:right="0" w:hanging="0"/>
              <w:jc w:val="both"/>
              <w:spacing w:lineRule="auto" w:line="240" w:after="0" w:afterAutospacing="0" w:before="0" w:beforeAutospacing="0"/>
              <w:tabs>
                <w:tab w:val="left" w:pos="283" w:leader="none"/>
                <w:tab w:val="left" w:pos="360" w:leader="none"/>
                <w:tab w:val="clear" w:pos="720" w:leader="none"/>
                <w:tab w:val="left" w:pos="138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ік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- 300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  <w:lang w:val="uk-UA" w:eastAsia="ru-RU"/>
              </w:rPr>
            </w:r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8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Система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контролю за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виконанням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93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Контроль за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виконанням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заходів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здійснює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постійна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комісія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ради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питань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планування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фінансів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, бюджету та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іально-економічного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ru-RU"/>
              </w:rPr>
              <w:t xml:space="preserve">розвитку</w:t>
            </w:r>
            <w:r>
              <w:rPr>
                <w:lang w:val="uk-UA"/>
              </w:rPr>
            </w:r>
          </w:p>
        </w:tc>
      </w:tr>
    </w:tbl>
    <w:p>
      <w:pPr>
        <w:spacing w:lineRule="auto" w:line="240" w:after="0" w:afterAutospacing="0" w:before="0" w:before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  <w:t xml:space="preserve"> 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tabs>
          <w:tab w:val="left" w:pos="6096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» на 2020-2022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роки на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об’єднаної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громади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Вступ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на 2020 -2022 роки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розроблено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місцеве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Указу Президента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27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березня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1998 року № 222 «Про заходи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05.10.1998 № 1597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правил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17.07.2015 № 516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правил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9"/>
          <w:szCs w:val="29"/>
          <w:shd w:val="clear" w:color="auto" w:fill="FFFFFF"/>
          <w:lang w:val="uk-UA" w:eastAsia="ru-RU"/>
        </w:rPr>
        <w:t xml:space="preserve"> 24.02.2016 № 115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внесення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правил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».</w:t>
      </w:r>
      <w:r>
        <w:rPr>
          <w:lang w:val="uk-UA"/>
        </w:rPr>
      </w:r>
    </w:p>
    <w:p>
      <w:pPr>
        <w:ind w:firstLine="708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Загальні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спрямована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підвищення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рівня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доступності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пільгових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додаткових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умов для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жителів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працюють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органах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самоврядування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підприємствах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організаціях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сільського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інших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господарських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формуваннях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що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функціонують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сільській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місцевості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сфері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підприємствах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установах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організаціях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переробних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обслуговуючих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галузей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агропромислового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комплексу,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навчальних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закладах, закладах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культури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розташованих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межах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об’єднаної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територіальної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також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поширюється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частини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6 та абзацу четвертого пункту 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10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статус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ветеранів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ійни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гарантії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як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внутрішньо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переміщені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особи.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Мета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Метою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реалізація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політики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частині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розв’язання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проблем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збільшення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як основ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поліпшення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демографічної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ситуації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припинення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відтоку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трудового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потенціалу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завдяки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ільговому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кредитуванню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забезпеченню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цій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основі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подальшого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іпотеки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Основні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завдання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pStyle w:val="29"/>
        <w:numPr>
          <w:ilvl w:val="0"/>
          <w:numId w:val="4"/>
        </w:numPr>
        <w:ind w:left="0" w:right="0" w:hanging="0"/>
        <w:jc w:val="both"/>
        <w:spacing w:lineRule="auto" w:line="240" w:after="0" w:afterAutospacing="0" w:before="0" w:beforeAutospacing="0"/>
        <w:tabs>
          <w:tab w:val="clear" w:pos="72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нарощування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шляхом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індивідуальним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(до 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ідповідно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Правил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довгострокових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забудовникам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КМУ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жовтня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1998 року №1597;</w:t>
      </w:r>
      <w:r>
        <w:rPr>
          <w:lang w:val="uk-UA"/>
        </w:rPr>
      </w:r>
    </w:p>
    <w:p>
      <w:pPr>
        <w:pStyle w:val="29"/>
        <w:numPr>
          <w:ilvl w:val="0"/>
          <w:numId w:val="4"/>
        </w:numPr>
        <w:ind w:left="0" w:right="0" w:hanging="0"/>
        <w:jc w:val="both"/>
        <w:spacing w:lineRule="auto" w:line="240" w:after="0" w:afterAutospacing="0" w:before="0" w:beforeAutospacing="0"/>
        <w:tabs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збільшення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кількості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введеного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експлуатацію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завдяки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першочерговому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інвестуванню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незавершених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будівництвом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житлових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будинків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високим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івнем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будівельної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готовності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pStyle w:val="29"/>
        <w:numPr>
          <w:ilvl w:val="0"/>
          <w:numId w:val="4"/>
        </w:numPr>
        <w:ind w:left="0" w:right="0" w:hanging="0"/>
        <w:jc w:val="both"/>
        <w:spacing w:lineRule="auto" w:line="240" w:after="0" w:afterAutospacing="0" w:before="0" w:beforeAutospacing="0"/>
        <w:tabs>
          <w:tab w:val="clear" w:pos="72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соціальна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орієнтованість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першочергове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кредитів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багатодітним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сім’ям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молодим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сім’ям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працівникам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сфери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також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особам,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яких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поширюється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дія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пунктів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19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20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частини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першої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6 та абзацу четвертого пункту 1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10 Закону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«Про статус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ветеранів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гарантії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як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внутрішньо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переміщені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особи».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іоритетні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напрямки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pStyle w:val="29"/>
        <w:numPr>
          <w:ilvl w:val="0"/>
          <w:numId w:val="4"/>
        </w:numPr>
        <w:ind w:left="0" w:right="0" w:hanging="0"/>
        <w:jc w:val="both"/>
        <w:spacing w:lineRule="auto" w:line="240" w:after="0" w:afterAutospacing="0" w:before="0" w:beforeAutospacing="0"/>
        <w:tabs>
          <w:tab w:val="clear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розширення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фінансової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місцевого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бюджеті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зокрема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довгострокове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кредитування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придбання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житла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соціальною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lang w:val="uk-UA" w:eastAsia="ru-RU"/>
        </w:rPr>
      </w:r>
    </w:p>
    <w:p>
      <w:pPr>
        <w:pStyle w:val="29"/>
        <w:numPr>
          <w:ilvl w:val="0"/>
          <w:numId w:val="4"/>
        </w:numPr>
        <w:ind w:left="0" w:right="0" w:hanging="0"/>
        <w:jc w:val="both"/>
        <w:spacing w:lineRule="auto" w:line="240" w:after="0" w:afterAutospacing="0" w:before="0" w:beforeAutospacing="0"/>
        <w:tabs>
          <w:tab w:val="clear" w:pos="720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ансований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інфраструктури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Фінансове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здійснюється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ідставі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Державний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сесій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ради та 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відповідності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положення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порядок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формування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використання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фондів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затвердженого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постановою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Кабінету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Міністрів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03.08.1998 № 1211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відповідними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змінами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коштів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бюджету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склада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є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:</w:t>
      </w:r>
      <w:r>
        <w:rPr>
          <w:lang w:val="uk-UA"/>
        </w:rPr>
      </w:r>
    </w:p>
    <w:p>
      <w:pPr>
        <w:numPr>
          <w:ilvl w:val="0"/>
          <w:numId w:val="6"/>
        </w:numPr>
        <w:ind w:left="1647" w:hanging="358"/>
        <w:jc w:val="both"/>
        <w:spacing w:lineRule="auto" w:line="240" w:after="0" w:afterAutospacing="0" w:before="0" w:beforeAutospacing="0"/>
        <w:tabs>
          <w:tab w:val="clear" w:pos="720" w:leader="none"/>
          <w:tab w:val="left" w:pos="927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 2020- 2022 – 900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., в т.ч.</w:t>
      </w:r>
      <w:r>
        <w:rPr>
          <w:lang w:val="uk-UA"/>
        </w:rPr>
      </w:r>
    </w:p>
    <w:p>
      <w:pPr>
        <w:numPr>
          <w:ilvl w:val="0"/>
          <w:numId w:val="6"/>
        </w:numPr>
        <w:ind w:left="2356" w:hanging="35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- 35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тис.грн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numPr>
          <w:ilvl w:val="0"/>
          <w:numId w:val="6"/>
        </w:numPr>
        <w:ind w:left="2356" w:hanging="35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- 25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тис.грн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numPr>
          <w:ilvl w:val="0"/>
          <w:numId w:val="6"/>
        </w:numPr>
        <w:ind w:left="2356" w:hanging="35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- 300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тис.грн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Результати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реалізації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lang w:val="uk-UA"/>
        </w:rPr>
      </w:r>
    </w:p>
    <w:p>
      <w:pPr>
        <w:ind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на 2020-2022 роки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розроблена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доручення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Міністерства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регіонального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житлово-комунального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17.06.2011 №16-12/5035/0/6-11,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обласної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на 2020-2022 роки,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районної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ідтримки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індивідуального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розвитку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особистого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селянського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господарства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Власний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 на 2020-2022 роки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виходячи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прогнозних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кредитування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рахунок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державного,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обласного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районного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бюджетів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Завдяки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реалізації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даної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буде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збільшено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обсяги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будівництва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ряд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зокрема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через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поліпшення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житлових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умов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багатодітних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сімей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молодих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сімей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працівників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сфери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осіб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яких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поширюється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дія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пунктів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19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частини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першої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6 та абзацу четвертого пункту 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статті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10 Закону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«Про статус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ветеранів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ійни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гарантії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соціального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»,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громадян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України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які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перебувають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обліку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як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внутрішньо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переміщені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особи.</w:t>
      </w:r>
      <w:r>
        <w:rPr>
          <w:lang w:val="uk-UA"/>
        </w:rPr>
      </w:r>
      <w:r>
        <w:rPr>
          <w:lang w:val="uk-UA"/>
        </w:rPr>
      </w:r>
      <w:r>
        <w:rPr>
          <w:lang w:val="uk-UA"/>
        </w:rPr>
      </w:r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Lucida Sans Unicode">
    <w:panose1 w:val="020B06040305040402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1417" w:hanging="359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left="2137" w:hanging="359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left="2857" w:hanging="359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left="3577" w:hanging="359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left="4297" w:hanging="359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left="5017" w:hanging="359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left="5737" w:hanging="359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left="6457" w:hanging="359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left="7177" w:hanging="359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2"/>
    <w:next w:val="1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2"/>
    <w:next w:val="1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2"/>
    <w:next w:val="1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2"/>
    <w:next w:val="1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2"/>
    <w:next w:val="1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2"/>
    <w:next w:val="1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2"/>
    <w:next w:val="1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2"/>
    <w:next w:val="1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2"/>
    <w:next w:val="1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2"/>
    <w:next w:val="1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3"/>
    <w:link w:val="32"/>
    <w:uiPriority w:val="10"/>
    <w:rPr>
      <w:sz w:val="48"/>
      <w:szCs w:val="48"/>
    </w:rPr>
  </w:style>
  <w:style w:type="paragraph" w:styleId="34">
    <w:name w:val="Subtitle"/>
    <w:basedOn w:val="172"/>
    <w:next w:val="1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3"/>
    <w:link w:val="34"/>
    <w:uiPriority w:val="11"/>
    <w:rPr>
      <w:sz w:val="24"/>
      <w:szCs w:val="24"/>
    </w:rPr>
  </w:style>
  <w:style w:type="paragraph" w:styleId="36">
    <w:name w:val="Quote"/>
    <w:basedOn w:val="172"/>
    <w:next w:val="1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2"/>
    <w:next w:val="1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3"/>
    <w:link w:val="40"/>
    <w:uiPriority w:val="99"/>
  </w:style>
  <w:style w:type="paragraph" w:styleId="42">
    <w:name w:val="Footer"/>
    <w:basedOn w:val="1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3"/>
    <w:link w:val="42"/>
    <w:uiPriority w:val="99"/>
  </w:style>
  <w:style w:type="table" w:styleId="44">
    <w:name w:val="Table Grid"/>
    <w:basedOn w:val="1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3"/>
    <w:uiPriority w:val="99"/>
    <w:unhideWhenUsed/>
    <w:rPr>
      <w:vertAlign w:val="superscript"/>
    </w:rPr>
  </w:style>
  <w:style w:type="paragraph" w:styleId="70">
    <w:name w:val="toc 1"/>
    <w:basedOn w:val="172"/>
    <w:next w:val="172"/>
    <w:uiPriority w:val="39"/>
    <w:unhideWhenUsed/>
    <w:pPr>
      <w:ind w:left="0" w:right="0" w:hanging="0"/>
      <w:spacing w:after="57"/>
    </w:pPr>
  </w:style>
  <w:style w:type="paragraph" w:styleId="71">
    <w:name w:val="toc 2"/>
    <w:basedOn w:val="172"/>
    <w:next w:val="17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2"/>
    <w:next w:val="17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2"/>
    <w:next w:val="17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2"/>
    <w:next w:val="17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2"/>
    <w:next w:val="17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2"/>
    <w:next w:val="17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2"/>
    <w:next w:val="17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2"/>
    <w:next w:val="17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2" w:default="1">
    <w:name w:val="Normal"/>
    <w:qFormat/>
  </w:style>
  <w:style w:type="character" w:styleId="173" w:default="1">
    <w:name w:val="Default Paragraph Font"/>
    <w:uiPriority w:val="1"/>
    <w:semiHidden/>
    <w:unhideWhenUsed/>
  </w:style>
  <w:style w:type="table" w:styleId="17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5" w:default="1">
    <w:name w:val="No List"/>
    <w:uiPriority w:val="99"/>
    <w:semiHidden/>
    <w:unhideWhenUsed/>
  </w:style>
  <w:style w:type="paragraph" w:styleId="176" w:customStyle="1">
    <w:name w:val="docdata"/>
    <w:basedOn w:val="17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77">
    <w:name w:val="Normal (Web)"/>
    <w:basedOn w:val="172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78">
    <w:name w:val="Balloon Text"/>
    <w:basedOn w:val="172"/>
    <w:link w:val="17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9" w:customStyle="1">
    <w:name w:val="Текст выноски Знак"/>
    <w:basedOn w:val="173"/>
    <w:link w:val="178"/>
    <w:uiPriority w:val="99"/>
    <w:semiHidden/>
    <w:rPr>
      <w:rFonts w:ascii="Tahoma" w:hAnsi="Tahoma" w:cs="Tahoma"/>
      <w:sz w:val="16"/>
      <w:szCs w:val="16"/>
    </w:rPr>
  </w:style>
  <w:style w:type="paragraph" w:styleId="180">
    <w:name w:val="Body Text Indent"/>
    <w:basedOn w:val="172"/>
    <w:link w:val="181"/>
    <w:rPr>
      <w:rFonts w:ascii="Times New Roman" w:hAnsi="Times New Roman" w:cs="Times New Roman" w:eastAsia="Batang"/>
      <w:sz w:val="20"/>
      <w:szCs w:val="20"/>
      <w:lang w:eastAsia="ru-RU"/>
    </w:rPr>
    <w:pPr>
      <w:ind w:left="283"/>
      <w:spacing w:lineRule="auto" w:line="240" w:after="120"/>
    </w:pPr>
  </w:style>
  <w:style w:type="character" w:styleId="181" w:customStyle="1">
    <w:name w:val="Основной текст с отступом Знак"/>
    <w:basedOn w:val="173"/>
    <w:link w:val="180"/>
    <w:rPr>
      <w:rFonts w:ascii="Times New Roman" w:hAnsi="Times New Roman" w:cs="Times New Roman" w:eastAsia="Batang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