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-141" w:hanging="0"/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19049" t="0" r="9524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0" w:right="-141" w:hanging="0"/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УКРАЇНА</w:t>
      </w:r>
      <w:r/>
    </w:p>
    <w:p>
      <w:pPr>
        <w:ind w:left="0" w:right="-141" w:hanging="0"/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МЕНСЬКА МІСЬКА РАДА</w:t>
      </w:r>
      <w:r/>
    </w:p>
    <w:p>
      <w:pPr>
        <w:ind w:left="0" w:right="-141" w:hanging="0"/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Менського</w:t>
      </w: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 району </w:t>
      </w: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Чернігівської</w:t>
      </w: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області</w:t>
      </w:r>
      <w:r/>
    </w:p>
    <w:p>
      <w:pPr>
        <w:pStyle w:val="179"/>
        <w:ind w:left="0" w:right="-141" w:hanging="0"/>
        <w:jc w:val="center"/>
        <w:spacing w:after="0" w:afterAutospacing="0" w:before="0" w:beforeAutospacing="0"/>
        <w:widowControl w:val="o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(тридцять шоста сесія сьомого скликання)</w:t>
      </w:r>
      <w:r/>
    </w:p>
    <w:p>
      <w:pPr>
        <w:pStyle w:val="178"/>
        <w:ind w:left="0" w:right="-141" w:hanging="0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ind w:left="0" w:right="-141" w:hanging="0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грудня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2019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</w:t>
        <w:tab/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№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657</w:t>
      </w:r>
      <w:r/>
    </w:p>
    <w:p>
      <w:pPr>
        <w:ind w:left="0" w:right="-141" w:hanging="0"/>
        <w:jc w:val="center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left="0" w:right="4819" w:hanging="0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/>
      <w:bookmarkStart w:id="0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затвердження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організації харчування дітей в закладах дошкільної освіти Менської міської ради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на 2020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-2022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о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к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и</w:t>
      </w:r>
      <w:r/>
    </w:p>
    <w:p>
      <w:pPr>
        <w:ind w:left="0" w:right="-141" w:hanging="0"/>
        <w:jc w:val="both"/>
        <w:spacing w:lineRule="auto" w:line="240" w:after="0"/>
        <w:tabs>
          <w:tab w:val="left" w:pos="4680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pStyle w:val="183"/>
        <w:ind w:left="0" w:right="-141" w:hanging="0"/>
        <w:jc w:val="both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Відповідно до Законів України «Про освіту», «Про дошкільну освіту», «Про охорону дитинства»,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державну соціальну допомогу малозабезпеченим сім’ям»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 «Про особливості державної політики із забезпечення державного суверенітету України над тимчасово окупованими територіями в Донецькій та Луганській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областях»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Batang"/>
          <w:sz w:val="28"/>
          <w:szCs w:val="28"/>
          <w:shd w:val="clear" w:color="auto" w:fill="FFFFFF"/>
          <w:lang w:eastAsia="ru-RU"/>
        </w:rPr>
        <w:t xml:space="preserve">«Про внесення змін до деяких законодавчих актів України»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 Постанов Кабінету Міністрів України від 02.02.2011 № 116 «Про затвердження Порядку надання послуг з харчування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від 18.01.201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6 року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№16 «Про внесення змін до Порядку надання послуг з харчування дітей у дошкільних, учнів у </w:t>
      </w:r>
      <w:r>
        <w:rPr>
          <w:rFonts w:ascii="Times New Roman" w:hAnsi="Times New Roman" w:cs="Times New Roman" w:eastAsia="Batang"/>
          <w:spacing w:val="0"/>
          <w:sz w:val="28"/>
          <w:szCs w:val="28"/>
          <w:lang w:eastAsia="ru-RU"/>
        </w:rPr>
        <w:t xml:space="preserve">загальноосвітніх та професійно-технічних закладах, операції з надання</w:t>
      </w:r>
      <w:r>
        <w:rPr>
          <w:rFonts w:ascii="Times New Roman" w:hAnsi="Times New Roman" w:eastAsia="Batang"/>
          <w:spacing w:val="0"/>
          <w:sz w:val="28"/>
          <w:szCs w:val="28"/>
          <w:lang w:eastAsia="ru-RU"/>
        </w:rPr>
        <w:t xml:space="preserve"> яких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звільняються від обкладення податком на додану вартість», від 22.11.2004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№ 1591 «Про затвердження норм харчування у навчальних та оздоровчих закладах», </w:t>
      </w:r>
      <w:r>
        <w:rPr>
          <w:rFonts w:ascii="Times New Roman" w:hAnsi="Times New Roman"/>
          <w:sz w:val="28"/>
          <w:szCs w:val="28"/>
        </w:rPr>
        <w:t xml:space="preserve">відповідно до рішення двадцятої сесії сьомого скликання від 12 вересня 2018 року № 317 ««Про внесення змін до рішень десятої сесії сьомого скликання від 31 січня 2018 року «Про розмір плати за харчування в закладах дошкільної освіти» та «Про порядок організ</w:t>
      </w:r>
      <w:r>
        <w:rPr>
          <w:rFonts w:ascii="Times New Roman" w:hAnsi="Times New Roman"/>
          <w:sz w:val="28"/>
          <w:szCs w:val="28"/>
        </w:rPr>
        <w:t xml:space="preserve">ації харчування учнів 1-11 класів закладів загальної середньої освіти у 2018 році»» </w:t>
      </w:r>
      <w:r>
        <w:rPr>
          <w:rFonts w:ascii="Times New Roman" w:hAnsi="Times New Roman" w:eastAsia="Batang"/>
          <w:sz w:val="28"/>
          <w:szCs w:val="28"/>
          <w:shd w:val="clear" w:color="auto" w:fill="FFFFFF"/>
          <w:lang w:eastAsia="ru-RU"/>
        </w:rPr>
        <w:t xml:space="preserve">та з метою збереження</w:t>
      </w:r>
      <w:r>
        <w:rPr>
          <w:rFonts w:ascii="Times New Roman" w:hAnsi="Times New Roman" w:eastAsia="Batang"/>
          <w:sz w:val="28"/>
          <w:szCs w:val="28"/>
          <w:shd w:val="clear" w:color="auto" w:fill="FFFFFF"/>
          <w:lang w:eastAsia="ru-RU"/>
        </w:rPr>
        <w:t xml:space="preserve"> здоров’я дітей та забезпечення повноцінного і раціонального харчування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керуючись п.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22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ст.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26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Менськ</w:t>
      </w:r>
      <w:r>
        <w:rPr>
          <w:rFonts w:ascii="Times New Roman" w:hAnsi="Times New Roman"/>
          <w:sz w:val="28"/>
          <w:szCs w:val="28"/>
        </w:rPr>
        <w:t xml:space="preserve">а міська  рада</w:t>
      </w:r>
      <w:r/>
    </w:p>
    <w:p>
      <w:pPr>
        <w:ind w:left="0" w:right="-141" w:hanging="0"/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ВИРІШИЛА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:</w:t>
      </w:r>
      <w:r/>
    </w:p>
    <w:p>
      <w:pPr>
        <w:numPr>
          <w:ilvl w:val="0"/>
          <w:numId w:val="1"/>
        </w:numPr>
        <w:ind w:left="0" w:right="-141" w:hanging="0"/>
        <w:jc w:val="both"/>
        <w:spacing w:lineRule="auto" w:line="240" w:after="0"/>
        <w:shd w:val="clear" w:color="auto" w:fill="FFFF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Затвердити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Програму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організації харчування дітей в закладах дошкільної освіти Менської міської ради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 2020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-2022 ро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згідно додатку до даного рішення, що додається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numPr>
          <w:ilvl w:val="0"/>
          <w:numId w:val="1"/>
        </w:numPr>
        <w:ind w:left="0" w:right="-141" w:hanging="0"/>
        <w:jc w:val="both"/>
        <w:spacing w:lineRule="auto" w:line="240" w:after="0"/>
        <w:shd w:val="clear" w:color="auto" w:fill="FFFF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Відділу освіти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забезпечити організоване виконання заходів Програми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numPr>
          <w:ilvl w:val="0"/>
          <w:numId w:val="1"/>
        </w:numPr>
        <w:ind w:left="0" w:right="-141" w:hanging="0"/>
        <w:jc w:val="both"/>
        <w:spacing w:lineRule="auto" w:line="240" w:after="0"/>
        <w:shd w:val="clear" w:color="auto" w:fill="FFFFFF"/>
        <w:tabs>
          <w:tab w:val="left" w:pos="56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 xml:space="preserve">Вишняк Т.С., заступника голови з питань діяльності виконавчого комітету Менської міської ради.</w:t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ind w:left="0" w:right="-141" w:hanging="0"/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/>
      <w:bookmarkStart w:id="1" w:name="_GoBack"/>
      <w:r/>
      <w:bookmarkEnd w:id="1"/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Міськи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й голова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  <w:t xml:space="preserve">Г.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А.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Примаков </w:t>
      </w:r>
      <w:r/>
      <w:r>
        <w:rPr>
          <w:rFonts w:ascii="Times New Roman" w:hAnsi="Times New Roman" w:eastAsia="Batang"/>
          <w:b/>
          <w:sz w:val="28"/>
          <w:szCs w:val="28"/>
          <w:lang w:eastAsia="ru-RU"/>
        </w:rPr>
        <w:br w:type="page"/>
      </w:r>
      <w:r/>
    </w:p>
    <w:p>
      <w:pPr>
        <w:ind w:left="6236" w:right="-141" w:hanging="0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 w:eastAsia="Times New Roman"/>
          <w:bCs/>
          <w:iCs/>
          <w:sz w:val="24"/>
          <w:szCs w:val="28"/>
          <w:lang w:eastAsia="ru-RU"/>
        </w:rPr>
        <w:t xml:space="preserve">Додаток </w:t>
      </w:r>
      <w:r>
        <w:rPr>
          <w:rFonts w:ascii="Times New Roman" w:hAnsi="Times New Roman" w:eastAsia="Times New Roman"/>
          <w:bCs/>
          <w:iCs/>
          <w:sz w:val="24"/>
          <w:szCs w:val="28"/>
          <w:lang w:eastAsia="ru-RU"/>
        </w:rPr>
        <w:t xml:space="preserve">до </w:t>
      </w:r>
      <w:r>
        <w:rPr>
          <w:rFonts w:ascii="Times New Roman" w:hAnsi="Times New Roman" w:eastAsia="Times New Roman"/>
          <w:bCs/>
          <w:iCs/>
          <w:sz w:val="24"/>
          <w:szCs w:val="28"/>
          <w:lang w:eastAsia="ru-RU"/>
        </w:rPr>
        <w:t xml:space="preserve">рішення</w:t>
      </w:r>
      <w:r>
        <w:rPr>
          <w:rFonts w:ascii="Times New Roman" w:hAnsi="Times New Roman" w:eastAsia="Times New Roman"/>
          <w:bCs/>
          <w:iCs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</w:rPr>
        <w:t xml:space="preserve">36 сесії </w:t>
      </w:r>
      <w:r>
        <w:rPr>
          <w:rFonts w:ascii="Times New Roman" w:hAnsi="Times New Roman"/>
          <w:color w:val="000000"/>
        </w:rPr>
        <w:t xml:space="preserve">Менської міської ради</w:t>
      </w:r>
      <w:r>
        <w:rPr>
          <w:rFonts w:ascii="Times New Roman" w:hAnsi="Times New Roman"/>
          <w:color w:val="000000"/>
        </w:rPr>
        <w:t xml:space="preserve"> 7 скликання  від 2</w:t>
      </w:r>
      <w:r>
        <w:rPr>
          <w:rFonts w:ascii="Times New Roman" w:hAnsi="Times New Roman"/>
          <w:color w:val="000000"/>
        </w:rPr>
        <w:t xml:space="preserve">6</w:t>
      </w:r>
      <w:r>
        <w:rPr>
          <w:rFonts w:ascii="Times New Roman" w:hAnsi="Times New Roman"/>
          <w:color w:val="000000"/>
        </w:rPr>
        <w:t xml:space="preserve">.1</w:t>
      </w:r>
      <w:r>
        <w:rPr>
          <w:rFonts w:ascii="Times New Roman" w:hAnsi="Times New Roman"/>
          <w:color w:val="000000"/>
        </w:rPr>
        <w:t xml:space="preserve">2</w:t>
      </w:r>
      <w:r>
        <w:rPr>
          <w:rFonts w:ascii="Times New Roman" w:hAnsi="Times New Roman"/>
          <w:color w:val="000000"/>
        </w:rPr>
        <w:t xml:space="preserve">.2019 </w:t>
      </w:r>
      <w:r>
        <w:rPr>
          <w:rFonts w:ascii="Times New Roman" w:hAnsi="Times New Roman"/>
          <w:color w:val="000000"/>
        </w:rPr>
        <w:t xml:space="preserve">№657</w:t>
      </w:r>
      <w:r>
        <w:rPr>
          <w:rFonts w:ascii="Times New Roman" w:hAnsi="Times New Roman"/>
          <w:color w:val="000000"/>
        </w:rPr>
        <w:t xml:space="preserve"> </w:t>
      </w:r>
      <w:r>
        <w:rPr>
          <w:rFonts w:ascii="Times New Roman" w:hAnsi="Times New Roman" w:eastAsia="Times New Roman"/>
          <w:bCs/>
          <w:iCs/>
          <w:sz w:val="24"/>
          <w:szCs w:val="28"/>
          <w:lang w:eastAsia="ru-RU"/>
        </w:rPr>
        <w:t xml:space="preserve">«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Про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затвердження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Програми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організації харчування в закладах дошкільної освіти Менської міської ради на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2020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-2022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рік»</w:t>
      </w:r>
      <w:r/>
    </w:p>
    <w:p>
      <w:pPr>
        <w:ind w:left="0" w:right="-141" w:hanging="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0" w:right="-141" w:hanging="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left="0" w:right="-141" w:hanging="0"/>
        <w:jc w:val="center"/>
        <w:spacing w:lineRule="auto" w:line="240" w:after="0"/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</w:pPr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ПРОГРАМА </w:t>
      </w:r>
      <w:r/>
    </w:p>
    <w:p>
      <w:pPr>
        <w:ind w:left="0" w:right="-141" w:hanging="0"/>
        <w:jc w:val="center"/>
        <w:spacing w:lineRule="auto" w:line="240" w:after="0"/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</w:pPr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організації харчув</w:t>
      </w:r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ання дітей у </w:t>
      </w:r>
      <w:r/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заклад</w:t>
      </w:r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ах дошкільної освіти </w:t>
      </w:r>
      <w:r/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Менської міської ради</w:t>
      </w:r>
      <w:r/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 на 20</w:t>
      </w:r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20</w:t>
      </w:r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-2022</w:t>
      </w:r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 р</w:t>
      </w:r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о</w:t>
      </w:r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к</w:t>
      </w:r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и</w:t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left="0" w:right="-141" w:hanging="0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left="0" w:right="-141" w:hanging="0"/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Мена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2019</w:t>
      </w:r>
      <w:r/>
    </w:p>
    <w:p>
      <w:pPr>
        <w:ind w:left="0" w:right="-141" w:hanging="0"/>
        <w:shd w:val="nil" w:color="auto" w:fill="FFFFFF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br w:type="page"/>
      </w:r>
      <w:r/>
    </w:p>
    <w:p>
      <w:pPr>
        <w:ind w:left="0" w:right="-141" w:hanging="0"/>
        <w:jc w:val="center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І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. ПАСПОРТ ПРОГРАМИ</w:t>
      </w:r>
      <w:r/>
    </w:p>
    <w:tbl>
      <w:tblPr>
        <w:tblW w:w="9904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556"/>
        <w:gridCol w:w="1882"/>
        <w:gridCol w:w="1883"/>
        <w:gridCol w:w="1883"/>
      </w:tblGrid>
      <w:tr>
        <w:trPr>
          <w:jc w:val="center"/>
        </w:trPr>
        <w:tc>
          <w:tcPr>
            <w:tcW w:w="700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W w:w="3556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 програми</w:t>
            </w:r>
            <w:r/>
          </w:p>
        </w:tc>
        <w:tc>
          <w:tcPr>
            <w:gridSpan w:val="3"/>
            <w:tcW w:w="5648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Програма організації харчування у закладах дошкільної осві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 Менської міської ради на 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-2022 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</w:t>
            </w:r>
            <w:r/>
          </w:p>
        </w:tc>
      </w:tr>
      <w:tr>
        <w:trPr>
          <w:jc w:val="center"/>
        </w:trPr>
        <w:tc>
          <w:tcPr>
            <w:tcW w:w="700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3556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Ініціатор розроблення програми</w:t>
            </w:r>
            <w:r/>
          </w:p>
        </w:tc>
        <w:tc>
          <w:tcPr>
            <w:gridSpan w:val="3"/>
            <w:tcW w:w="5648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</w:trPr>
        <w:tc>
          <w:tcPr>
            <w:tcW w:w="700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3556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Дата, номер і назва документа органу виконавчої влади про розроблення програми</w:t>
            </w:r>
            <w:r/>
          </w:p>
        </w:tc>
        <w:tc>
          <w:tcPr>
            <w:gridSpan w:val="3"/>
            <w:tcW w:w="5648" w:type="dxa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Закони України «Про освіту», «Про дошкільну освіту», «Про охорону дитинства»,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 державну соціальну допомогу малозабезпеченим сім’ям»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«Про особливості державної політики із забезпечення державного суверенітету над тимчасово окупованими територіями в Донецькій та Луганській областях», 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«Про місцеве самоврядування в Україні,</w:t>
            </w:r>
            <w:r>
              <w:rPr>
                <w:rFonts w:ascii="Times New Roman" w:hAnsi="Times New Roman" w:eastAsia="Batang"/>
                <w:sz w:val="28"/>
                <w:szCs w:val="28"/>
                <w:shd w:val="clear" w:color="auto" w:fill="FFFFFF"/>
                <w:lang w:eastAsia="ru-RU"/>
              </w:rPr>
              <w:t xml:space="preserve"> «Про внесення змін до деяких законодавчих актів України».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 постанов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и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 – технічних навчальних закладах, операції з надання яких звільняються від обкладення податком н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а додану вартість», від 22.11.2004 № 1591 «Про затвердження норм харчування у навчальних та оздоровчих закладах», від 18.01.2016 р. №16 «Про внесення змін до Порядку надання послуг з харчування дітей у дошкільних, учнів у </w:t>
            </w:r>
            <w:r>
              <w:rPr>
                <w:rFonts w:ascii="Times New Roman" w:hAnsi="Times New Roman" w:eastAsia="Batang"/>
                <w:spacing w:val="0"/>
                <w:sz w:val="28"/>
                <w:szCs w:val="28"/>
                <w:lang w:eastAsia="ru-RU"/>
              </w:rPr>
              <w:t xml:space="preserve">загальноосвітніх та професійно-технічних закладах, операції з надання яких 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звільняються від обкладення податком на додану вартість»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рішення двадцятої сесії сьомого скликання від 12 вересня 2018 року № 317 ««Про внесення змін до рішень десятої сесії сьомого скликання від 31 січня 2018 року «Про розмір плати за харчування в закладах дошкільної освіти» та «Про порядок організації харчуванн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я учнів 1-11 класів закладів загальної середньої освіти у 2018 році»»</w:t>
            </w:r>
            <w:r/>
          </w:p>
        </w:tc>
      </w:tr>
      <w:tr>
        <w:trPr>
          <w:jc w:val="center"/>
        </w:trPr>
        <w:tc>
          <w:tcPr>
            <w:tcW w:w="700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3556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Розробник програми</w:t>
            </w:r>
            <w:r/>
          </w:p>
        </w:tc>
        <w:tc>
          <w:tcPr>
            <w:gridSpan w:val="3"/>
            <w:tcW w:w="5648" w:type="dxa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Менської міської ради </w:t>
            </w:r>
            <w:r/>
          </w:p>
        </w:tc>
      </w:tr>
      <w:tr>
        <w:trPr>
          <w:jc w:val="center"/>
        </w:trPr>
        <w:tc>
          <w:tcPr>
            <w:tcW w:w="700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3556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Відповідальний виконавець програми</w:t>
            </w:r>
            <w:r/>
          </w:p>
        </w:tc>
        <w:tc>
          <w:tcPr>
            <w:gridSpan w:val="3"/>
            <w:tcW w:w="5648" w:type="dxa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  <w:trHeight w:val="274"/>
        </w:trPr>
        <w:tc>
          <w:tcPr>
            <w:tcW w:w="700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3556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Учасники програми</w:t>
            </w:r>
            <w:r/>
          </w:p>
        </w:tc>
        <w:tc>
          <w:tcPr>
            <w:gridSpan w:val="3"/>
            <w:tcW w:w="5648" w:type="dxa"/>
            <w:vAlign w:val="bottom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діл освіти Менської міської ради,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заклади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дошкільної освіти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фінансове управління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Менської міської ради </w:t>
            </w:r>
            <w:r/>
          </w:p>
        </w:tc>
      </w:tr>
      <w:tr>
        <w:trPr>
          <w:jc w:val="center"/>
          <w:trHeight w:val="842"/>
        </w:trPr>
        <w:tc>
          <w:tcPr>
            <w:tcW w:w="700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/>
          </w:p>
        </w:tc>
        <w:tc>
          <w:tcPr>
            <w:tcW w:w="3556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Дія Програми</w:t>
            </w:r>
            <w:r/>
          </w:p>
        </w:tc>
        <w:tc>
          <w:tcPr>
            <w:gridSpan w:val="3"/>
            <w:tcW w:w="5648" w:type="dxa"/>
            <w:vAlign w:val="bottom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Дія програми поширюється на територію населених пунктів, які увійшли до складу Менської об’єднаної територіальної громади</w:t>
            </w:r>
            <w:r/>
          </w:p>
        </w:tc>
      </w:tr>
      <w:tr>
        <w:trPr>
          <w:jc w:val="center"/>
          <w:trHeight w:val="379"/>
        </w:trPr>
        <w:tc>
          <w:tcPr>
            <w:tcW w:w="700" w:type="dxa"/>
            <w:textDirection w:val="lrTb"/>
            <w:noWrap w:val="false"/>
          </w:tcPr>
          <w:p>
            <w:pPr>
              <w:ind w:left="0" w:right="-141" w:hanging="0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3556" w:type="dxa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Термін реалізації Програми</w:t>
            </w:r>
            <w:r/>
          </w:p>
        </w:tc>
        <w:tc>
          <w:tcPr>
            <w:gridSpan w:val="3"/>
            <w:tcW w:w="5648" w:type="dxa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-2022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</w:t>
            </w:r>
            <w:r/>
          </w:p>
        </w:tc>
      </w:tr>
      <w:tr>
        <w:trPr>
          <w:jc w:val="center"/>
        </w:trPr>
        <w:tc>
          <w:tcPr>
            <w:tcW w:w="700" w:type="dxa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556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882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рік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1883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рік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1883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рік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</w:tr>
      <w:tr>
        <w:trPr>
          <w:jc w:val="center"/>
          <w:trHeight w:val="1615"/>
        </w:trPr>
        <w:tc>
          <w:tcPr>
            <w:tcW w:w="700" w:type="dxa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3556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Загальний орієнтовний обсяг фінансових ресурсів, необхідних для реалізації програми, всього:</w:t>
            </w:r>
            <w:r/>
          </w:p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тому числі:</w:t>
            </w:r>
            <w:r/>
          </w:p>
        </w:tc>
        <w:tc>
          <w:tcPr>
            <w:tcW w:w="1882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2950 000,00</w:t>
            </w:r>
            <w:r/>
          </w:p>
        </w:tc>
        <w:tc>
          <w:tcPr>
            <w:tcW w:w="1883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 395 000,00</w:t>
            </w:r>
            <w:r/>
          </w:p>
        </w:tc>
        <w:tc>
          <w:tcPr>
            <w:tcW w:w="1883" w:type="dxa"/>
            <w:vAlign w:val="center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 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80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 00</w:t>
            </w:r>
            <w:r/>
          </w:p>
        </w:tc>
      </w:tr>
      <w:tr>
        <w:trPr>
          <w:jc w:val="center"/>
          <w:trHeight w:val="655"/>
        </w:trPr>
        <w:tc>
          <w:tcPr>
            <w:tcW w:w="700" w:type="dxa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.1.</w:t>
            </w:r>
            <w:r/>
          </w:p>
        </w:tc>
        <w:tc>
          <w:tcPr>
            <w:tcW w:w="3556" w:type="dxa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кошти бюджету міської ОТГ</w:t>
            </w:r>
            <w:r/>
          </w:p>
        </w:tc>
        <w:tc>
          <w:tcPr>
            <w:tcW w:w="1882" w:type="dxa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2 330 500,00</w:t>
            </w:r>
            <w:r/>
          </w:p>
        </w:tc>
        <w:tc>
          <w:tcPr>
            <w:tcW w:w="1883" w:type="dxa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2 783 900,00</w:t>
            </w:r>
            <w:r/>
          </w:p>
        </w:tc>
        <w:tc>
          <w:tcPr>
            <w:tcW w:w="1883" w:type="dxa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3 298 000,00</w:t>
            </w:r>
            <w:r/>
          </w:p>
        </w:tc>
      </w:tr>
      <w:tr>
        <w:trPr>
          <w:jc w:val="center"/>
          <w:trHeight w:val="2590"/>
        </w:trPr>
        <w:tc>
          <w:tcPr>
            <w:tcW w:w="700" w:type="dxa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.2.</w:t>
            </w:r>
            <w:r/>
          </w:p>
        </w:tc>
        <w:tc>
          <w:tcPr>
            <w:tcW w:w="3556" w:type="dxa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кошти спеціального фонду (спонсорські кошти, надходження благодійних внесків від батьків в натуральній формі, інші джерела коштів, не заборонених законодавством)</w:t>
            </w:r>
            <w:r/>
          </w:p>
        </w:tc>
        <w:tc>
          <w:tcPr>
            <w:tcW w:w="1882" w:type="dxa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619 500,00</w:t>
            </w:r>
            <w:r/>
          </w:p>
        </w:tc>
        <w:tc>
          <w:tcPr>
            <w:tcW w:w="1883" w:type="dxa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611 100,00 </w:t>
            </w:r>
            <w:r/>
          </w:p>
        </w:tc>
        <w:tc>
          <w:tcPr>
            <w:tcW w:w="1883" w:type="dxa"/>
            <w:textDirection w:val="lrTb"/>
            <w:noWrap w:val="false"/>
          </w:tcPr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582 000,00</w:t>
            </w:r>
            <w:r/>
          </w:p>
        </w:tc>
      </w:tr>
    </w:tbl>
    <w:p>
      <w:pPr>
        <w:ind w:left="0" w:right="-141" w:hanging="0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pStyle w:val="182"/>
        <w:ind w:left="0" w:right="-141" w:hanging="0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  <w:t xml:space="preserve">*У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разі сплати за харчування 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коштами спеціального фонду (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батьківськими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коштами) 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8 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грн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в день на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одну 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дитину. Вартість 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дітодня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в 2020 році 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–30 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грн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в день, 2021 році – 35 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грн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в день, 2022 році – 40 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грн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в день.</w:t>
      </w:r>
      <w:r/>
    </w:p>
    <w:p>
      <w:pPr>
        <w:ind w:left="0" w:right="-141" w:hanging="0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/>
      <w:r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І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І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Загальні положення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178"/>
        <w:ind w:left="0" w:right="-141" w:hanging="0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rFonts w:eastAsia="BatangChe"/>
          <w:sz w:val="28"/>
          <w:szCs w:val="28"/>
        </w:rPr>
        <w:t xml:space="preserve">Дитячий організм відрізняється від дорослого швидким розвитком, формуванням і становленням структури багатьох органів і систем. Раціональний режим харчування, його збалансованість раціону є основними умовами для підвищення опору дитячого організму до захвор</w:t>
      </w:r>
      <w:r>
        <w:rPr>
          <w:rFonts w:eastAsia="BatangChe"/>
          <w:sz w:val="28"/>
          <w:szCs w:val="28"/>
        </w:rPr>
        <w:t xml:space="preserve">ювань, для нормального росту і розвитку дітей, які виховуються в </w:t>
      </w:r>
      <w:r>
        <w:rPr>
          <w:rFonts w:eastAsia="BatangChe"/>
          <w:sz w:val="28"/>
          <w:szCs w:val="28"/>
        </w:rPr>
        <w:t xml:space="preserve">закладі дошкільної освіти</w:t>
      </w:r>
      <w:r>
        <w:rPr>
          <w:rFonts w:eastAsia="BatangChe"/>
          <w:sz w:val="28"/>
          <w:szCs w:val="28"/>
        </w:rPr>
        <w:t xml:space="preserve">.</w:t>
      </w:r>
      <w:r>
        <w:rPr>
          <w:color w:val="000000"/>
          <w:sz w:val="28"/>
          <w:szCs w:val="28"/>
          <w:shd w:val="clear" w:color="auto" w:fill="FFFFFF"/>
        </w:rPr>
        <w:t xml:space="preserve">Здорове харчування має великий вплив на фізичний і розумовий розвиток дитини, її імунітет і працездатність.</w:t>
      </w:r>
      <w:r>
        <w:rPr>
          <w:sz w:val="28"/>
          <w:szCs w:val="28"/>
          <w:lang w:eastAsia="ru-RU"/>
        </w:rPr>
        <w:t xml:space="preserve">Харчування дітей </w:t>
      </w:r>
      <w:r>
        <w:rPr>
          <w:sz w:val="28"/>
          <w:szCs w:val="28"/>
          <w:lang w:eastAsia="ru-RU"/>
        </w:rPr>
        <w:t xml:space="preserve">закладів</w:t>
      </w:r>
      <w:r>
        <w:rPr>
          <w:sz w:val="28"/>
          <w:szCs w:val="28"/>
          <w:lang w:eastAsia="ru-RU"/>
        </w:rPr>
        <w:t xml:space="preserve"> дошкільної освіти</w:t>
      </w:r>
      <w:r>
        <w:rPr>
          <w:sz w:val="28"/>
          <w:szCs w:val="28"/>
          <w:lang w:eastAsia="ru-RU"/>
        </w:rPr>
        <w:t xml:space="preserve"> здійснюється за місцем навчання</w:t>
      </w:r>
      <w:r>
        <w:rPr>
          <w:sz w:val="28"/>
          <w:szCs w:val="28"/>
          <w:lang w:eastAsia="ru-RU"/>
        </w:rPr>
        <w:t xml:space="preserve"> в</w:t>
      </w:r>
      <w:r>
        <w:rPr>
          <w:rFonts w:eastAsia="Batang"/>
          <w:sz w:val="28"/>
          <w:szCs w:val="28"/>
          <w:lang w:eastAsia="ru-RU"/>
        </w:rPr>
        <w:t xml:space="preserve">ідповідно до </w:t>
      </w:r>
      <w:r>
        <w:rPr>
          <w:rFonts w:eastAsia="Batang"/>
          <w:sz w:val="28"/>
          <w:szCs w:val="28"/>
          <w:lang w:eastAsia="ru-RU"/>
        </w:rPr>
        <w:t xml:space="preserve">вимог </w:t>
      </w:r>
      <w:r>
        <w:rPr>
          <w:rFonts w:eastAsia="Batang"/>
          <w:sz w:val="28"/>
          <w:szCs w:val="28"/>
          <w:lang w:eastAsia="ru-RU"/>
        </w:rPr>
        <w:t xml:space="preserve">Законів України «Про освіту», «Про дошкільну освіту»,  «Про охорону дитинства</w:t>
      </w:r>
      <w:r>
        <w:rPr>
          <w:rFonts w:eastAsia="Batang"/>
          <w:sz w:val="28"/>
          <w:szCs w:val="28"/>
          <w:lang w:eastAsia="ru-RU"/>
        </w:rPr>
        <w:t xml:space="preserve">» та інших нормативно-правових актів</w:t>
      </w:r>
      <w:r>
        <w:rPr>
          <w:rFonts w:eastAsia="Batang"/>
          <w:sz w:val="28"/>
          <w:szCs w:val="28"/>
          <w:shd w:val="clear" w:color="auto" w:fill="FFFFFF"/>
          <w:lang w:eastAsia="ru-RU"/>
        </w:rPr>
        <w:t xml:space="preserve">.</w:t>
      </w:r>
      <w:r>
        <w:rPr>
          <w:rFonts w:eastAsia="Batang"/>
          <w:sz w:val="28"/>
          <w:szCs w:val="28"/>
          <w:shd w:val="clear" w:color="auto" w:fill="FFFFFF"/>
          <w:lang w:eastAsia="ru-RU"/>
        </w:rPr>
        <w:t xml:space="preserve"> Заклади дошкільної освіти Менської міської ради повинні н</w:t>
      </w:r>
      <w:r>
        <w:rPr>
          <w:color w:val="000000"/>
          <w:sz w:val="28"/>
          <w:szCs w:val="28"/>
        </w:rPr>
        <w:t xml:space="preserve">ада</w:t>
      </w:r>
      <w:r>
        <w:rPr>
          <w:color w:val="000000"/>
          <w:sz w:val="28"/>
          <w:szCs w:val="28"/>
        </w:rPr>
        <w:t xml:space="preserve">вати</w:t>
      </w:r>
      <w:r>
        <w:rPr>
          <w:color w:val="000000"/>
          <w:sz w:val="28"/>
          <w:szCs w:val="28"/>
        </w:rPr>
        <w:t xml:space="preserve"> повноцінне, збалансоване і здорове харчування, що відповідає вимогам </w:t>
      </w:r>
      <w:r>
        <w:rPr>
          <w:color w:val="000000"/>
          <w:sz w:val="28"/>
          <w:szCs w:val="28"/>
        </w:rPr>
        <w:t xml:space="preserve">усіх нормативно правових актів, з</w:t>
      </w:r>
      <w:r>
        <w:rPr>
          <w:color w:val="000000"/>
          <w:sz w:val="28"/>
          <w:szCs w:val="28"/>
        </w:rPr>
        <w:t xml:space="preserve">абезпечу</w:t>
      </w:r>
      <w:r>
        <w:rPr>
          <w:color w:val="000000"/>
          <w:sz w:val="28"/>
          <w:szCs w:val="28"/>
        </w:rPr>
        <w:t xml:space="preserve">вати таким</w:t>
      </w:r>
      <w:r>
        <w:rPr>
          <w:color w:val="000000"/>
          <w:sz w:val="28"/>
          <w:szCs w:val="28"/>
        </w:rPr>
        <w:t xml:space="preserve"> меню, що складається з урахуванням рекомендованих груп продуктів харчування і рекомендованих для дитини добових норм поживних речовин і енергії.</w:t>
      </w:r>
      <w:r>
        <w:rPr>
          <w:color w:val="000000"/>
          <w:sz w:val="28"/>
          <w:szCs w:val="28"/>
          <w:lang w:val="ru-RU"/>
        </w:rPr>
        <w:t xml:space="preserve"> </w:t>
      </w:r>
      <w:r>
        <w:rPr>
          <w:color w:val="000000"/>
          <w:sz w:val="28"/>
          <w:szCs w:val="28"/>
        </w:rPr>
        <w:t xml:space="preserve">Усі продукти харчування, які потрапляють до закладів дошкільної освіти, повинні відповідати умовам державних стандартів та супроводжуватись документацією (накладні, сертифікати) з висновками щодо їх якості, терміну реалізації, кількості.</w:t>
      </w:r>
      <w:r>
        <w:rPr>
          <w:color w:val="000000"/>
          <w:sz w:val="28"/>
          <w:szCs w:val="28"/>
        </w:rPr>
      </w:r>
      <w:r/>
    </w:p>
    <w:p>
      <w:pPr>
        <w:pStyle w:val="178"/>
        <w:ind w:left="0" w:right="-141" w:hanging="0"/>
        <w:jc w:val="both"/>
        <w:spacing w:after="0" w:afterAutospacing="0" w:before="0" w:beforeAutospacing="0"/>
        <w:shd w:val="clear" w:color="auto" w:fill="FFFFFF"/>
      </w:pPr>
      <w:r>
        <w:rPr>
          <w:color w:val="000000"/>
          <w:sz w:val="28"/>
          <w:szCs w:val="28"/>
        </w:rPr>
        <w:t xml:space="preserve">Основна увага при організації харчування в дитячих садках приділяється безпеці </w:t>
      </w:r>
      <w:r>
        <w:rPr>
          <w:sz w:val="28"/>
          <w:szCs w:val="28"/>
        </w:rPr>
        <w:t xml:space="preserve">їжі: екологічності продуктів, безпечному технологічному процесу, належній подачі страви.</w:t>
      </w:r>
      <w:r>
        <w:rPr>
          <w:sz w:val="28"/>
          <w:szCs w:val="28"/>
        </w:rPr>
      </w:r>
      <w:r/>
    </w:p>
    <w:p>
      <w:pPr>
        <w:ind w:left="0" w:right="-141" w:hanging="0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2019 рік рішенням двадцять четвертої сесії сьомого скликан</w:t>
      </w:r>
      <w:r>
        <w:rPr>
          <w:rFonts w:ascii="Times New Roman" w:hAnsi="Times New Roman"/>
          <w:sz w:val="28"/>
          <w:szCs w:val="28"/>
        </w:rPr>
        <w:t xml:space="preserve">ня від 17 грудня 2018 року № 479</w:t>
      </w:r>
      <w:r>
        <w:rPr>
          <w:rFonts w:ascii="Times New Roman" w:hAnsi="Times New Roman"/>
          <w:sz w:val="28"/>
          <w:szCs w:val="28"/>
        </w:rPr>
        <w:t xml:space="preserve"> «Про затвердження Програми організації харчування </w:t>
      </w:r>
      <w:r>
        <w:rPr>
          <w:rFonts w:ascii="Times New Roman" w:hAnsi="Times New Roman"/>
          <w:sz w:val="28"/>
          <w:szCs w:val="28"/>
        </w:rPr>
        <w:t xml:space="preserve">дітей в закладах дошкільної освіти </w:t>
      </w:r>
      <w:r>
        <w:rPr>
          <w:rFonts w:ascii="Times New Roman" w:hAnsi="Times New Roman"/>
          <w:sz w:val="28"/>
          <w:szCs w:val="28"/>
        </w:rPr>
        <w:t xml:space="preserve">Менської міської ради на 2019 рік» було затверджено відповідну Програму.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79"/>
        <w:ind w:left="0" w:right="-141" w:hanging="0"/>
        <w:jc w:val="both"/>
        <w:spacing w:after="0" w:afterAutospacing="0" w:before="0" w:beforeAutospacing="0"/>
      </w:pPr>
      <w:r>
        <w:rPr>
          <w:rStyle w:val="188"/>
          <w:b/>
          <w:sz w:val="28"/>
          <w:szCs w:val="28"/>
        </w:rPr>
        <w:t xml:space="preserve">Б</w:t>
      </w:r>
      <w:r>
        <w:rPr>
          <w:rStyle w:val="188"/>
          <w:b/>
          <w:sz w:val="28"/>
          <w:szCs w:val="28"/>
        </w:rPr>
        <w:t xml:space="preserve">езкоштовним харчуванням</w:t>
      </w:r>
      <w:r>
        <w:rPr>
          <w:rStyle w:val="188"/>
          <w:sz w:val="28"/>
          <w:szCs w:val="28"/>
        </w:rPr>
        <w:t xml:space="preserve"> у закладах дошкільної</w:t>
      </w:r>
      <w:r>
        <w:rPr>
          <w:rStyle w:val="188"/>
          <w:sz w:val="28"/>
          <w:szCs w:val="28"/>
        </w:rPr>
        <w:t xml:space="preserve"> освіти Менської міської ради забезпечувалися:</w:t>
      </w:r>
      <w:r>
        <w:rPr>
          <w:rStyle w:val="188"/>
          <w:sz w:val="28"/>
          <w:szCs w:val="28"/>
        </w:rPr>
      </w:r>
      <w:r>
        <w:rPr>
          <w:rStyle w:val="188"/>
        </w:rPr>
      </w:r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діти–сирот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и та діти, позбавлені батьківського піклування;</w:t>
      </w:r>
      <w:r>
        <w:rPr>
          <w:rFonts w:ascii="Times New Roman" w:hAnsi="Times New Roman" w:eastAsia="Batang"/>
          <w:sz w:val="28"/>
          <w:szCs w:val="24"/>
          <w:lang w:eastAsia="ru-RU"/>
        </w:rPr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діти з малозабезпечених сімей;</w:t>
      </w:r>
      <w:r>
        <w:rPr>
          <w:rFonts w:ascii="Times New Roman" w:hAnsi="Times New Roman" w:eastAsia="Batang"/>
          <w:sz w:val="28"/>
          <w:szCs w:val="24"/>
          <w:lang w:eastAsia="ru-RU"/>
        </w:rPr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діти учасників бойових дій – АТО та ООС;</w:t>
      </w:r>
      <w:r>
        <w:rPr>
          <w:rFonts w:ascii="Times New Roman" w:hAnsi="Times New Roman" w:eastAsia="Batang"/>
          <w:sz w:val="28"/>
          <w:szCs w:val="24"/>
          <w:lang w:eastAsia="ru-RU"/>
        </w:rPr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дітей, батьки яких загинули під час виконання службових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обов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¢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язків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зоні АТО та ООС;</w:t>
      </w:r>
      <w:r>
        <w:rPr>
          <w:rFonts w:ascii="Times New Roman" w:hAnsi="Times New Roman" w:eastAsia="Batang"/>
          <w:sz w:val="28"/>
          <w:szCs w:val="24"/>
          <w:lang w:eastAsia="ru-RU"/>
        </w:rPr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діти з особливими освітніми потребами, які навчаються в спеціальних і інклюзивних класах; </w:t>
      </w:r>
      <w:r>
        <w:rPr>
          <w:rFonts w:ascii="Times New Roman" w:hAnsi="Times New Roman" w:eastAsia="Batang"/>
          <w:sz w:val="28"/>
          <w:szCs w:val="24"/>
          <w:lang w:eastAsia="ru-RU"/>
        </w:rPr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діти з інвалідністю;</w:t>
      </w:r>
      <w:r>
        <w:rPr>
          <w:rFonts w:ascii="Times New Roman" w:hAnsi="Times New Roman" w:eastAsia="Batang"/>
          <w:sz w:val="28"/>
          <w:szCs w:val="24"/>
          <w:lang w:eastAsia="ru-RU"/>
        </w:rPr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діти постраждалі внаслідок аварії на ЧАЕС; </w:t>
      </w:r>
      <w:r>
        <w:rPr>
          <w:rFonts w:ascii="Times New Roman" w:hAnsi="Times New Roman" w:eastAsia="Batang"/>
          <w:sz w:val="28"/>
          <w:szCs w:val="24"/>
          <w:lang w:eastAsia="ru-RU"/>
        </w:rPr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/>
          <w:lang w:eastAsia="uk-UA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у виняткових випадках (в разі, якщо сім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¢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я опинилась в складних життєвих обставинах або батьки неспромо</w:t>
      </w:r>
      <w:r>
        <w:rPr>
          <w:rFonts w:ascii="Times New Roman" w:hAnsi="Times New Roman"/>
          <w:sz w:val="28"/>
          <w:szCs w:val="28"/>
          <w:lang w:eastAsia="uk-UA"/>
        </w:rPr>
        <w:t xml:space="preserve">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</w:t>
      </w:r>
      <w:r>
        <w:rPr>
          <w:rFonts w:ascii="Times New Roman" w:hAnsi="Times New Roman"/>
          <w:sz w:val="28"/>
          <w:szCs w:val="28"/>
          <w:lang w:eastAsia="uk-UA"/>
        </w:rPr>
        <w:t xml:space="preserve">та за пропозицією відділу освіти Менської міської ради)).</w:t>
      </w: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ind w:left="0" w:right="-141" w:hanging="0"/>
        <w:jc w:val="both"/>
        <w:spacing w:lineRule="auto" w:line="240" w:after="0"/>
        <w:tabs>
          <w:tab w:val="left" w:pos="426" w:leader="none"/>
          <w:tab w:val="left" w:pos="851" w:leader="none"/>
        </w:tabs>
        <w:rPr>
          <w:rFonts w:ascii="Times New Roman" w:hAnsi="Times New Roman"/>
        </w:rPr>
      </w:pPr>
      <w:r>
        <w:rPr>
          <w:rStyle w:val="189"/>
          <w:rFonts w:ascii="Times New Roman" w:hAnsi="Times New Roman"/>
          <w:sz w:val="28"/>
          <w:szCs w:val="28"/>
        </w:rPr>
        <w:tab/>
        <w:t xml:space="preserve">Гарячим харчуванням, з </w:t>
      </w:r>
      <w:r>
        <w:rPr>
          <w:rStyle w:val="189"/>
          <w:rFonts w:ascii="Times New Roman" w:hAnsi="Times New Roman"/>
          <w:b/>
          <w:sz w:val="28"/>
          <w:szCs w:val="28"/>
        </w:rPr>
        <w:t xml:space="preserve">оплатою у розмірі 50% від вартості харчування</w:t>
      </w:r>
      <w:r>
        <w:rPr>
          <w:rStyle w:val="189"/>
          <w:rFonts w:ascii="Times New Roman" w:hAnsi="Times New Roman"/>
          <w:sz w:val="28"/>
          <w:szCs w:val="28"/>
        </w:rPr>
        <w:t xml:space="preserve">, забезпечувалися</w:t>
      </w:r>
      <w:r>
        <w:rPr>
          <w:rStyle w:val="189"/>
          <w:rFonts w:ascii="Times New Roman" w:hAnsi="Times New Roman"/>
          <w:sz w:val="28"/>
          <w:szCs w:val="28"/>
        </w:rPr>
        <w:t xml:space="preserve"> діти з багатодітних сімей, що виховуються</w:t>
      </w:r>
      <w:r>
        <w:rPr>
          <w:rStyle w:val="189"/>
          <w:rFonts w:ascii="Times New Roman" w:hAnsi="Times New Roman"/>
          <w:sz w:val="28"/>
          <w:szCs w:val="28"/>
        </w:rPr>
        <w:t xml:space="preserve"> в закладах </w:t>
      </w:r>
      <w:r>
        <w:rPr>
          <w:rStyle w:val="189"/>
          <w:rFonts w:ascii="Times New Roman" w:hAnsi="Times New Roman"/>
          <w:sz w:val="28"/>
          <w:szCs w:val="28"/>
        </w:rPr>
        <w:t xml:space="preserve">дошкільної </w:t>
      </w:r>
      <w:r>
        <w:rPr>
          <w:rStyle w:val="189"/>
          <w:rFonts w:ascii="Times New Roman" w:hAnsi="Times New Roman"/>
          <w:sz w:val="28"/>
          <w:szCs w:val="28"/>
        </w:rPr>
        <w:t xml:space="preserve">освіти Менської міської ради.</w:t>
      </w:r>
      <w:r>
        <w:rPr>
          <w:rStyle w:val="189"/>
          <w:rFonts w:ascii="Times New Roman" w:hAnsi="Times New Roman"/>
          <w:sz w:val="28"/>
          <w:szCs w:val="28"/>
        </w:rPr>
      </w:r>
      <w:r>
        <w:rPr>
          <w:rStyle w:val="189"/>
        </w:rPr>
      </w:r>
    </w:p>
    <w:p>
      <w:pPr>
        <w:ind w:left="0" w:right="-141" w:hanging="0"/>
        <w:jc w:val="both"/>
        <w:spacing w:lineRule="auto" w:line="240" w:after="0"/>
        <w:tabs>
          <w:tab w:val="left" w:pos="426" w:leader="none"/>
          <w:tab w:val="left" w:pos="851" w:leader="none"/>
        </w:tabs>
        <w:rPr>
          <w:rFonts w:ascii="Times New Roman" w:hAnsi="Times New Roman"/>
          <w:sz w:val="28"/>
        </w:rPr>
      </w:pPr>
      <w:r>
        <w:rPr>
          <w:rStyle w:val="190"/>
          <w:rFonts w:ascii="Times New Roman" w:hAnsi="Times New Roman"/>
          <w:sz w:val="28"/>
          <w:szCs w:val="28"/>
        </w:rPr>
        <w:tab/>
        <w:t xml:space="preserve">Вартість харчування однієї дитини</w:t>
      </w:r>
      <w:r>
        <w:rPr>
          <w:rStyle w:val="190"/>
          <w:rFonts w:ascii="Times New Roman" w:hAnsi="Times New Roman"/>
          <w:sz w:val="28"/>
          <w:szCs w:val="28"/>
        </w:rPr>
        <w:t xml:space="preserve"> в день в закладах </w:t>
      </w:r>
      <w:r>
        <w:rPr>
          <w:rStyle w:val="190"/>
          <w:rFonts w:ascii="Times New Roman" w:hAnsi="Times New Roman"/>
          <w:sz w:val="28"/>
          <w:szCs w:val="28"/>
        </w:rPr>
        <w:t xml:space="preserve">дошкільної </w:t>
      </w:r>
      <w:r>
        <w:rPr>
          <w:rStyle w:val="190"/>
          <w:rFonts w:ascii="Times New Roman" w:hAnsi="Times New Roman"/>
          <w:sz w:val="28"/>
          <w:szCs w:val="28"/>
        </w:rPr>
        <w:t xml:space="preserve">освіти  Менськ</w:t>
      </w:r>
      <w:r>
        <w:rPr>
          <w:rFonts w:ascii="Times New Roman" w:hAnsi="Times New Roman"/>
          <w:sz w:val="28"/>
          <w:szCs w:val="28"/>
        </w:rPr>
        <w:t xml:space="preserve">ої міської ради   протягом 2019 року (без врахування літніх місяців) становила 25 </w:t>
      </w:r>
      <w:r>
        <w:rPr>
          <w:rFonts w:ascii="Times New Roman" w:hAnsi="Times New Roman"/>
          <w:sz w:val="28"/>
          <w:szCs w:val="28"/>
        </w:rPr>
        <w:t xml:space="preserve">грн</w:t>
      </w:r>
      <w:r>
        <w:rPr>
          <w:rFonts w:ascii="Times New Roman" w:hAnsi="Times New Roman"/>
          <w:sz w:val="28"/>
          <w:szCs w:val="28"/>
        </w:rPr>
        <w:t xml:space="preserve"> в день на одну дитину</w:t>
      </w:r>
      <w:r>
        <w:rPr>
          <w:rFonts w:ascii="Times New Roman" w:hAnsi="Times New Roman"/>
          <w:sz w:val="28"/>
          <w:szCs w:val="28"/>
        </w:rPr>
        <w:t xml:space="preserve"> (в тому числі батьківська плата за харчування дітей у закладах дошкільної освіти складає 3</w:t>
      </w:r>
      <w:r>
        <w:rPr>
          <w:rFonts w:ascii="Times New Roman" w:hAnsi="Times New Roman"/>
          <w:sz w:val="28"/>
          <w:szCs w:val="28"/>
        </w:rPr>
        <w:t xml:space="preserve">2 в</w:t>
      </w:r>
      <w:r>
        <w:rPr>
          <w:rFonts w:ascii="Times New Roman" w:hAnsi="Times New Roman"/>
          <w:sz w:val="28"/>
          <w:szCs w:val="28"/>
        </w:rPr>
        <w:t xml:space="preserve">ідсотки від вартості харчування</w:t>
      </w:r>
      <w:r>
        <w:rPr>
          <w:rFonts w:ascii="Times New Roman" w:hAnsi="Times New Roman"/>
          <w:sz w:val="28"/>
          <w:szCs w:val="28"/>
        </w:rPr>
        <w:t xml:space="preserve"> - відповідно 8 </w:t>
      </w:r>
      <w:r>
        <w:rPr>
          <w:rFonts w:ascii="Times New Roman" w:hAnsi="Times New Roman"/>
          <w:sz w:val="28"/>
          <w:szCs w:val="28"/>
        </w:rPr>
        <w:t xml:space="preserve">грн</w:t>
      </w:r>
      <w:r>
        <w:rPr>
          <w:rFonts w:ascii="Times New Roman" w:hAnsi="Times New Roman"/>
          <w:sz w:val="28"/>
          <w:szCs w:val="28"/>
        </w:rPr>
        <w:t xml:space="preserve"> 00 к в день на одну дитину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82"/>
        <w:ind w:left="0" w:right="-141" w:hanging="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Під час літнього оздоро</w:t>
      </w:r>
      <w:r>
        <w:rPr>
          <w:rFonts w:ascii="Times New Roman" w:hAnsi="Times New Roman"/>
          <w:sz w:val="28"/>
          <w:szCs w:val="28"/>
        </w:rPr>
        <w:t xml:space="preserve">вчого періоду  вартість </w:t>
      </w:r>
      <w:r>
        <w:rPr>
          <w:rFonts w:ascii="Times New Roman" w:hAnsi="Times New Roman"/>
          <w:sz w:val="28"/>
          <w:szCs w:val="28"/>
        </w:rPr>
        <w:t xml:space="preserve">дітодня</w:t>
      </w:r>
      <w:r>
        <w:rPr>
          <w:rFonts w:ascii="Times New Roman" w:hAnsi="Times New Roman"/>
          <w:sz w:val="28"/>
          <w:szCs w:val="28"/>
        </w:rPr>
        <w:t xml:space="preserve"> становила</w:t>
      </w:r>
      <w:r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 xml:space="preserve">грн</w:t>
      </w:r>
      <w:r>
        <w:rPr>
          <w:rFonts w:ascii="Times New Roman" w:hAnsi="Times New Roman"/>
          <w:sz w:val="28"/>
          <w:szCs w:val="28"/>
        </w:rPr>
        <w:t xml:space="preserve"> 50 к на одну дитину (в тому числі </w:t>
      </w:r>
      <w:r>
        <w:rPr>
          <w:rFonts w:ascii="Times New Roman" w:hAnsi="Times New Roman"/>
          <w:sz w:val="28"/>
          <w:szCs w:val="28"/>
        </w:rPr>
        <w:t xml:space="preserve"> батьківська плата за харчування дітей у за</w:t>
      </w:r>
      <w:r>
        <w:rPr>
          <w:rFonts w:ascii="Times New Roman" w:hAnsi="Times New Roman"/>
          <w:sz w:val="28"/>
          <w:szCs w:val="28"/>
        </w:rPr>
        <w:t xml:space="preserve">кладах дошкільної освіти складала</w:t>
      </w:r>
      <w:r>
        <w:rPr>
          <w:rFonts w:ascii="Times New Roman" w:hAnsi="Times New Roman"/>
          <w:sz w:val="28"/>
          <w:szCs w:val="28"/>
        </w:rPr>
        <w:t xml:space="preserve"> 32 відсотки від вартості харчування – відповідно </w:t>
      </w: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грн</w:t>
      </w:r>
      <w:r>
        <w:rPr>
          <w:rFonts w:ascii="Times New Roman" w:hAnsi="Times New Roman"/>
          <w:sz w:val="28"/>
          <w:szCs w:val="28"/>
        </w:rPr>
        <w:t xml:space="preserve"> 80 к</w:t>
      </w:r>
      <w:r>
        <w:rPr>
          <w:rFonts w:ascii="Times New Roman" w:hAnsi="Times New Roman"/>
          <w:sz w:val="28"/>
          <w:szCs w:val="28"/>
        </w:rPr>
        <w:t xml:space="preserve"> в день на одну дитину</w:t>
      </w:r>
      <w:r>
        <w:rPr>
          <w:rFonts w:ascii="Times New Roman" w:hAnsi="Times New Roman"/>
          <w:sz w:val="28"/>
          <w:szCs w:val="28"/>
        </w:rPr>
        <w:t xml:space="preserve">).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-141" w:hanging="0"/>
        <w:jc w:val="both"/>
        <w:spacing w:lineRule="auto" w:line="240" w:after="0"/>
        <w:tabs>
          <w:tab w:val="left" w:pos="426" w:leader="none"/>
          <w:tab w:val="left" w:pos="851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Станом на 01.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.2019 року </w:t>
      </w:r>
      <w:r>
        <w:rPr>
          <w:rFonts w:ascii="Times New Roman" w:hAnsi="Times New Roman"/>
          <w:sz w:val="28"/>
          <w:szCs w:val="28"/>
        </w:rPr>
        <w:t xml:space="preserve">загальна кількість дітей, що відвідують заклади дошкільної освіти</w:t>
      </w:r>
      <w:r>
        <w:rPr>
          <w:rFonts w:ascii="Times New Roman" w:hAnsi="Times New Roman"/>
          <w:sz w:val="28"/>
          <w:szCs w:val="28"/>
        </w:rPr>
        <w:t xml:space="preserve"> становить 605 дітей</w:t>
      </w:r>
      <w:r>
        <w:rPr>
          <w:rFonts w:ascii="Times New Roman" w:hAnsi="Times New Roman"/>
          <w:sz w:val="28"/>
          <w:szCs w:val="28"/>
        </w:rPr>
        <w:t xml:space="preserve">. Серед</w:t>
      </w:r>
      <w:r>
        <w:rPr>
          <w:rFonts w:ascii="Times New Roman" w:hAnsi="Times New Roman"/>
          <w:sz w:val="28"/>
          <w:szCs w:val="28"/>
        </w:rPr>
        <w:t xml:space="preserve"> них </w:t>
      </w:r>
      <w:r>
        <w:rPr>
          <w:rFonts w:ascii="Times New Roman" w:hAnsi="Times New Roman"/>
          <w:sz w:val="28"/>
          <w:szCs w:val="28"/>
        </w:rPr>
        <w:t xml:space="preserve">63дитини</w:t>
      </w:r>
      <w:r>
        <w:rPr>
          <w:rFonts w:ascii="Times New Roman" w:hAnsi="Times New Roman"/>
          <w:sz w:val="28"/>
          <w:szCs w:val="28"/>
        </w:rPr>
        <w:t xml:space="preserve"> пільгових категорій</w:t>
      </w:r>
      <w:r>
        <w:rPr>
          <w:rFonts w:ascii="Times New Roman" w:hAnsi="Times New Roman"/>
          <w:sz w:val="28"/>
          <w:szCs w:val="28"/>
        </w:rPr>
        <w:t xml:space="preserve">  забезпечувалися пільгою у розмірі 100%</w:t>
      </w:r>
      <w:r>
        <w:rPr>
          <w:rFonts w:ascii="Times New Roman" w:hAnsi="Times New Roman"/>
          <w:sz w:val="28"/>
          <w:szCs w:val="28"/>
        </w:rPr>
        <w:t xml:space="preserve"> від вартості харчування</w:t>
      </w:r>
      <w:r>
        <w:rPr>
          <w:rFonts w:ascii="Times New Roman" w:hAnsi="Times New Roman"/>
          <w:sz w:val="28"/>
          <w:szCs w:val="28"/>
        </w:rPr>
        <w:t xml:space="preserve">, 59 дітей</w:t>
      </w:r>
      <w:r>
        <w:rPr>
          <w:rFonts w:ascii="Times New Roman" w:hAnsi="Times New Roman"/>
          <w:sz w:val="28"/>
          <w:szCs w:val="28"/>
        </w:rPr>
        <w:t xml:space="preserve"> забезпечувалися пільгою у розмірі 50 % від вартості харчування (</w:t>
      </w:r>
      <w:r>
        <w:rPr>
          <w:rFonts w:ascii="Times New Roman" w:hAnsi="Times New Roman"/>
          <w:sz w:val="28"/>
          <w:szCs w:val="28"/>
        </w:rPr>
        <w:t xml:space="preserve">діти</w:t>
      </w:r>
      <w:r>
        <w:rPr>
          <w:rFonts w:ascii="Times New Roman" w:hAnsi="Times New Roman"/>
          <w:sz w:val="28"/>
          <w:szCs w:val="28"/>
        </w:rPr>
        <w:t xml:space="preserve"> з багатодітних родин).</w:t>
      </w:r>
      <w:r>
        <w:rPr>
          <w:rFonts w:ascii="Times New Roman" w:hAnsi="Times New Roman"/>
          <w:sz w:val="28"/>
          <w:szCs w:val="28"/>
        </w:rPr>
        <w:t xml:space="preserve">Середнє виконання норм харчування становить </w:t>
      </w:r>
      <w:r>
        <w:rPr>
          <w:rFonts w:ascii="Times New Roman" w:hAnsi="Times New Roman"/>
          <w:sz w:val="28"/>
          <w:szCs w:val="28"/>
        </w:rPr>
        <w:t xml:space="preserve">73</w:t>
      </w:r>
      <w:r>
        <w:rPr>
          <w:rFonts w:ascii="Times New Roman" w:hAnsi="Times New Roman"/>
          <w:sz w:val="28"/>
          <w:szCs w:val="28"/>
        </w:rPr>
        <w:t xml:space="preserve"> %.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-141" w:hanging="0"/>
        <w:jc w:val="both"/>
        <w:spacing w:lineRule="auto" w:line="240" w:after="0"/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обрахуванн</w:t>
      </w:r>
      <w:r>
        <w:rPr>
          <w:rFonts w:ascii="Times New Roman" w:hAnsi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/>
          <w:sz w:val="28"/>
          <w:szCs w:val="28"/>
          <w:lang w:eastAsia="ru-RU"/>
        </w:rPr>
        <w:t xml:space="preserve"> розрахункових показників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коштів необхідних для реалізації даної Програми у 2020-2022 роках покладено наступні вимоги: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орієнтовна кількість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що харчуватимуться,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орієнтовна кількість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дітей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що користуватимуться пільгами на харчування 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pStyle w:val="182"/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батьки звільнені на 100% від плати за харчування),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орієнтовна кількість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що користуватимуться пільгами на харчування 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pStyle w:val="182"/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батьки звільнені на 50% від плати за харчування),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орієнтовна кількість дітей, що  не користуватимуться пільгами на харчування (батьківська плата становить 100 % від вартості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дітодня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вартість харчування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на одну дитину в день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 урахуванням підвищення цін на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продукти харчування (2020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рік-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30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день, 2021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рік-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35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день, 2022 рік – 40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день)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за умови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батьківської плати за харчування дитини у закладах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дошкільної освіти 8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день,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додатково передбачено 10 % від вартості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дітодня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на літній оздоровчий та відпочинковий період ( вартість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дітодня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літній період становить у 2020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році-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33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день, у 2021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році-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38,5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день, у 2022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році–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44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день)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виконання норм харчування.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ind w:left="0" w:right="-141" w:hanging="0"/>
        <w:jc w:val="center"/>
        <w:spacing w:lineRule="auto" w:line="240" w:after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ІІІ. Мета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рограми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ind w:left="0" w:right="-141" w:firstLine="708"/>
        <w:jc w:val="both"/>
        <w:spacing w:lineRule="auto" w:line="240" w:after="0"/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Основна мета Програми - це створення умов для збереження здоров’я дітей, підвищення рівня організації  харчування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забезпечення дітей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 закладах дошкільної освіти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якісним харчуванням.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ind w:left="0" w:right="-141" w:hanging="0"/>
        <w:jc w:val="center"/>
        <w:spacing w:lineRule="auto" w:line="240" w:after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І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V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Завдання П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рограми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створення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єдиної системи  харчування;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удосконалення управління системою організації харчування, оптимізації витрат на її функціонування;  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створення умов для  харчування дітей;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 охоплен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ня гарячим харчуванням дітей в закладах дошкільної освіти;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забезпечення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безкоштовним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гарячим харчуванням дітей пільгових категорій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(дітей – сиріт, дітей, позбавлених батьківського піклування, дітей з сімей, які отримують допомогу відповідно до  Закону України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Batang"/>
          <w:bCs/>
          <w:sz w:val="28"/>
          <w:szCs w:val="28"/>
          <w:shd w:val="clear" w:color="auto" w:fill="FFFFFF"/>
          <w:lang w:eastAsia="ru-RU"/>
        </w:rPr>
        <w:t xml:space="preserve">Про державну соціальну допомогу малозабезпеченим сім’ям»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діти з особливими освітніми потребами, які навчаються в спеціальних і інклюзивних класах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дітей учасників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бойових дій (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АТО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ООС),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дітей, батьки яких загинули під час виконання службових обов’язків в зоні проведення антитерористичної операції та в зоні проведення операції об’єднаних сил, дітей з інвалідністю, дітей постраждалих внаслідок аварії на ЧАЕС, у виняткових випадках (в разі,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якщо сім’я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 та заяви одного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з батьків, за пропозицією відділу освіти Менської міської ради до виконавчого комітету).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забезпечення гарячим харчуванням з оплатою у розмірі 50% від вартості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дітодня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для дітей з багатодітних сімей, що відвідують заклади дошкільної освіти Менської міської ради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ind w:left="0" w:right="-141" w:hanging="0"/>
        <w:jc w:val="center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Batang"/>
          <w:b/>
          <w:sz w:val="28"/>
          <w:szCs w:val="28"/>
          <w:lang w:val="en-US" w:eastAsia="ru-RU"/>
        </w:rPr>
        <w:t xml:space="preserve">V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еалізація Програми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ind w:left="0" w:right="-141" w:hanging="0"/>
        <w:jc w:val="both"/>
        <w:spacing w:lineRule="auto" w:line="240" w:after="0"/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Програма організації харчування у закладах дошкільної осві</w:t>
      </w:r>
      <w:r>
        <w:rPr>
          <w:rFonts w:ascii="Times New Roman" w:hAnsi="Times New Roman"/>
          <w:sz w:val="28"/>
          <w:szCs w:val="28"/>
          <w:lang w:eastAsia="ru-RU"/>
        </w:rPr>
        <w:t xml:space="preserve">ти Менської міської ради на 2020-2022 ро</w:t>
      </w:r>
      <w:r>
        <w:rPr>
          <w:rFonts w:ascii="Times New Roman" w:hAnsi="Times New Roman"/>
          <w:sz w:val="28"/>
          <w:szCs w:val="28"/>
          <w:lang w:eastAsia="ru-RU"/>
        </w:rPr>
        <w:t xml:space="preserve">к</w:t>
      </w:r>
      <w:r>
        <w:rPr>
          <w:rFonts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передбачає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забезпечення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якісним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харчуванням дітей всіх закладів дошкільної освіти Менської міської ради,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надання пільг при оплаті за харчування окремим категоріям дітей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Дана програма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необхідна для забезпечення раціонального та ефективного використання бюджетних коштів.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ind w:left="0" w:right="-141" w:hanging="0"/>
        <w:jc w:val="center"/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VІ. Фінансування Програми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left="0" w:right="-141" w:hanging="0"/>
        <w:jc w:val="both"/>
        <w:spacing w:lineRule="auto" w:line="240" w:after="0"/>
        <w:tabs>
          <w:tab w:val="left" w:pos="6960" w:leader="none"/>
        </w:tabs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Кошти бюджету Менської ОТГ для харчування: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left="0" w:right="-141" w:hanging="0"/>
        <w:jc w:val="both"/>
        <w:spacing w:lineRule="auto" w:line="24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- безкоштовне харчування дітей ЗДО пільгових категорій (дітей – сиріт, дітей, позбавлених батьківського піклування, дітей з сімей, які отримують допомогу відповідно до статті 19 Закону України «Про державну допомогу сім’ям з </w:t>
      </w:r>
      <w:r>
        <w:rPr>
          <w:rFonts w:ascii="Times New Roman" w:hAnsi="Times New Roman"/>
          <w:sz w:val="28"/>
          <w:szCs w:val="28"/>
          <w:lang w:eastAsia="ru-RU"/>
        </w:rPr>
        <w:t xml:space="preserve">дітьми»,</w:t>
      </w:r>
      <w:r>
        <w:rPr>
          <w:rFonts w:ascii="Times New Roman" w:hAnsi="Times New Roman"/>
          <w:sz w:val="28"/>
          <w:szCs w:val="28"/>
          <w:lang w:eastAsia="uk-UA"/>
        </w:rPr>
        <w:t xml:space="preserve">діти з особливими освітніми потребами, які навчаються в спеціальних і інклюзивних класах</w:t>
      </w:r>
      <w:r>
        <w:rPr>
          <w:rFonts w:ascii="Times New Roman" w:hAnsi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дітей учасників </w:t>
      </w:r>
      <w:r>
        <w:rPr>
          <w:rFonts w:ascii="Times New Roman" w:hAnsi="Times New Roman"/>
          <w:sz w:val="28"/>
          <w:szCs w:val="28"/>
          <w:lang w:eastAsia="ru-RU"/>
        </w:rPr>
        <w:t xml:space="preserve">бойових дій (</w:t>
      </w:r>
      <w:r>
        <w:rPr>
          <w:rFonts w:ascii="Times New Roman" w:hAnsi="Times New Roman"/>
          <w:sz w:val="28"/>
          <w:szCs w:val="28"/>
          <w:lang w:eastAsia="ru-RU"/>
        </w:rPr>
        <w:t xml:space="preserve">АТО</w:t>
      </w:r>
      <w:r>
        <w:rPr>
          <w:rFonts w:ascii="Times New Roman" w:hAnsi="Times New Roman"/>
          <w:sz w:val="28"/>
          <w:szCs w:val="28"/>
          <w:lang w:eastAsia="ru-RU"/>
        </w:rPr>
        <w:t xml:space="preserve">,ООС)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дітей, батьки яких загинули під час виконання службових обов’язків в зоні проведення антитерористичної операції</w:t>
      </w:r>
      <w:r>
        <w:rPr>
          <w:rFonts w:ascii="Times New Roman" w:hAnsi="Times New Roman"/>
          <w:sz w:val="28"/>
          <w:szCs w:val="28"/>
        </w:rPr>
        <w:t xml:space="preserve"> та зоні проведення операції об’єднаних сил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дітей з інвалідністю, дітей постраждалих внаслідок аварії на ЧАЕС, у виняткових випадках (в разі, якщо сім’я опинилась в складних життєвих обставинах або батьки неспроможні з поважних причин сплачувати за харчування дітей та інших випадках) за погодженням в</w:t>
      </w:r>
      <w:r>
        <w:rPr>
          <w:rFonts w:ascii="Times New Roman" w:hAnsi="Times New Roman"/>
          <w:sz w:val="28"/>
          <w:szCs w:val="28"/>
        </w:rPr>
        <w:t xml:space="preserve">иконавчого комітету Менської міської ради (при наявності підтверджуючих документів та заяви одного з батьків, за пропозицією відділу освіти Менської міської ради до виконавчого комітету)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left="0" w:right="-141" w:hanging="0"/>
        <w:jc w:val="both"/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оплата 50% </w:t>
      </w:r>
      <w:r>
        <w:rPr>
          <w:rFonts w:ascii="Times New Roman" w:hAnsi="Times New Roman"/>
          <w:sz w:val="28"/>
          <w:szCs w:val="28"/>
          <w:lang w:eastAsia="ru-RU"/>
        </w:rPr>
        <w:t xml:space="preserve">віл вартості </w:t>
      </w:r>
      <w:r>
        <w:rPr>
          <w:rFonts w:ascii="Times New Roman" w:hAnsi="Times New Roman"/>
          <w:sz w:val="28"/>
          <w:szCs w:val="28"/>
          <w:lang w:eastAsia="ru-RU"/>
        </w:rPr>
        <w:t xml:space="preserve">дітодня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за </w:t>
      </w:r>
      <w:r>
        <w:rPr>
          <w:rFonts w:ascii="Times New Roman" w:hAnsi="Times New Roman"/>
          <w:sz w:val="28"/>
          <w:szCs w:val="28"/>
          <w:lang w:eastAsia="ru-RU"/>
        </w:rPr>
        <w:t xml:space="preserve">дітей з багатодітних сімей</w:t>
      </w:r>
      <w:r>
        <w:rPr>
          <w:rFonts w:ascii="Times New Roman" w:hAnsi="Times New Roman"/>
          <w:sz w:val="28"/>
          <w:szCs w:val="28"/>
          <w:lang w:eastAsia="ru-RU"/>
        </w:rPr>
        <w:t xml:space="preserve">, що відвідують заклади дошкільної освіти Менської міської ради</w:t>
      </w:r>
      <w:r/>
      <w:r/>
    </w:p>
    <w:p>
      <w:pPr>
        <w:ind w:left="0" w:right="-141" w:hanging="0"/>
        <w:jc w:val="both"/>
        <w:spacing w:lineRule="auto" w:line="240" w:after="0"/>
        <w:tabs>
          <w:tab w:val="left" w:pos="6960" w:leader="none"/>
        </w:tabs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Кошти спеціального фонду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ind w:left="0" w:right="-141" w:hanging="0"/>
        <w:jc w:val="both"/>
        <w:spacing w:lineRule="auto" w:line="240" w:after="0"/>
        <w:rPr>
          <w:rFonts w:ascii="Times New Roman" w:hAnsi="Times New Roman" w:eastAsia="Batang"/>
          <w:color w:val="000000"/>
          <w:lang w:eastAsia="ru-RU"/>
        </w:rPr>
      </w:pPr>
      <w:r>
        <w:rPr>
          <w:rFonts w:ascii="Times New Roman" w:hAnsi="Times New Roman" w:eastAsia="Batang"/>
          <w:color w:val="000000"/>
          <w:sz w:val="28"/>
          <w:szCs w:val="28"/>
          <w:lang w:eastAsia="ru-RU"/>
        </w:rPr>
        <w:t xml:space="preserve">Фінансування програми здійснюється за рахунок коштів бюджету Менської ОТГ та інших джерел не заборонених законодавством. При цьому обсяг коштів визначається під час формування бюджету з урахуванням його фінансових можливостей та може змінюватися в процесі в</w:t>
      </w:r>
      <w:r>
        <w:rPr>
          <w:rFonts w:ascii="Times New Roman" w:hAnsi="Times New Roman" w:eastAsia="Batang"/>
          <w:color w:val="000000"/>
          <w:sz w:val="28"/>
          <w:szCs w:val="28"/>
          <w:lang w:eastAsia="ru-RU"/>
        </w:rPr>
        <w:t xml:space="preserve">иконання бюджету при внесенні змін до нього.  </w:t>
      </w:r>
      <w:r>
        <w:rPr>
          <w:rFonts w:ascii="Times New Roman" w:hAnsi="Times New Roman" w:eastAsia="Batang"/>
          <w:color w:val="000000"/>
          <w:sz w:val="28"/>
          <w:szCs w:val="28"/>
          <w:lang w:eastAsia="ru-RU"/>
        </w:rPr>
      </w:r>
      <w:r/>
    </w:p>
    <w:p>
      <w:pPr>
        <w:ind w:left="0" w:right="-141" w:hanging="0"/>
        <w:jc w:val="both"/>
        <w:spacing w:lineRule="auto" w:line="240" w:after="0"/>
        <w:rPr>
          <w:rFonts w:ascii="Times New Roman" w:hAnsi="Times New Roman" w:eastAsia="Batang"/>
          <w:color w:val="000000"/>
          <w:lang w:eastAsia="ru-RU"/>
        </w:rPr>
      </w:pPr>
      <w:r>
        <w:rPr>
          <w:rFonts w:ascii="Times New Roman" w:hAnsi="Times New Roman" w:eastAsia="Batang"/>
          <w:color w:val="000000"/>
          <w:sz w:val="28"/>
          <w:szCs w:val="28"/>
          <w:lang w:eastAsia="ru-RU"/>
        </w:rPr>
        <w:t xml:space="preserve">Орієнтовні обсяги т</w:t>
      </w:r>
      <w:r>
        <w:rPr>
          <w:rFonts w:ascii="Times New Roman" w:hAnsi="Times New Roman" w:eastAsia="Batang"/>
          <w:color w:val="000000"/>
          <w:sz w:val="28"/>
          <w:szCs w:val="28"/>
          <w:lang w:eastAsia="ru-RU"/>
        </w:rPr>
        <w:t xml:space="preserve">а джерела фінансування Програми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організації харчування дітей в закладах дошкільної освіти Менської міської ради на 2020-2022 ро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eastAsia="Batang"/>
          <w:color w:val="000000"/>
          <w:sz w:val="28"/>
          <w:szCs w:val="28"/>
          <w:lang w:eastAsia="ru-RU"/>
        </w:rPr>
      </w:r>
      <w:r/>
    </w:p>
    <w:p>
      <w:pPr>
        <w:ind w:left="0" w:right="-141" w:hanging="0"/>
        <w:jc w:val="center"/>
        <w:spacing w:lineRule="auto" w:line="240" w:after="0"/>
        <w:tabs>
          <w:tab w:val="left" w:pos="3000" w:leader="none"/>
        </w:tabs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VІ.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Очікуванні результати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 від реалізації П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рограми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  <w:r/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створення єдиної системи харчування;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забезпечення бе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зкоштовним харчуванням в закладах дошкільної освіти дітей пільгових категорій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(дітей – сиріт, дітей, позбавлених батьківського піклування, дітей з сімей, які отримують допомогу відповідно до статті 19 Закону України «Про державну допомогу сім’ям з дітьми»,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діти з особливими освітніми потребами, які навчаються в спеціальних і інклюзивних класах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дітей учасників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бойових дій (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АТО,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ООС),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дітей, батьки яких загинули під час виконання службових обов’язків в зоні проведення антитерористичної операції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та зоні проведення операції об’єднаних сил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дітей з інвалідністю, дітей постраждалих внаслідок аварії на ЧАЕС,  у виняткових випадках (в разі, якщо сім’я опинилась в складних життєвих обставинах або батьки неспроможні з поважних причин сплачувати за харчування дітей та інших випадках) за погодженням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виконавчого комітету Менської міської ради (при наявності підтверджуючих документів та заяви одного з батьків, за пропозицією відділу освіти Менської міської ради до виконавчого комітету)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забезпечення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харчуванням з пільгою у розмірі 50 % в закладах дошкільної освіти дітей пільгових категорій ( діти з багатодітних сімей)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створення умов, що сприяють зміцненню здоров`я дітей дошкільного віку, їх гармонійному розвитку;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забезпечення якісним харчуванням дітей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дошкільного віку в закладах дошкільної освіти Менської міської ради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(відповідно до чинного законодавства); 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поліпшення якості харчування;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формування навичок правильного та здорового харчування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2"/>
        <w:numPr>
          <w:ilvl w:val="0"/>
          <w:numId w:val="11"/>
        </w:numPr>
        <w:ind w:left="0" w:right="-141" w:hanging="0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впровадження нових технологій в організації харчування.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ind w:left="0" w:right="-141" w:hanging="0"/>
        <w:jc w:val="center"/>
        <w:spacing w:lineRule="auto" w:line="240" w:after="0"/>
        <w:tabs>
          <w:tab w:val="left" w:pos="945" w:leader="none"/>
        </w:tabs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V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ІІ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Управління та контроль за ходом виконання Програми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ind w:left="0" w:right="-141" w:firstLine="708"/>
        <w:jc w:val="both"/>
        <w:spacing w:lineRule="auto" w:line="240" w:after="0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Головним виконавцем Програми є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відділ освіти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Менської міської ради. Контроль за її виконанням здійснює виконавчий комітет міської ради.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r>
      <w:r/>
    </w:p>
    <w:p>
      <w:pPr>
        <w:shd w:val="nil" w:color="auto" w:fill="FFFFFF"/>
        <w:rPr>
          <w:b/>
          <w:lang w:val="en-US"/>
        </w:rPr>
      </w:pPr>
      <w:r>
        <w:rPr>
          <w:b/>
          <w:szCs w:val="28"/>
          <w:lang w:val="en-US"/>
        </w:rPr>
        <w:br w:type="page"/>
      </w:r>
      <w:r/>
    </w:p>
    <w:p>
      <w:pPr>
        <w:pStyle w:val="186"/>
        <w:ind w:left="0" w:right="-141" w:hanging="0"/>
        <w:jc w:val="center"/>
        <w:rPr>
          <w:b/>
          <w:szCs w:val="28"/>
        </w:rPr>
      </w:pPr>
      <w:r>
        <w:rPr>
          <w:b/>
          <w:szCs w:val="28"/>
          <w:lang w:val="en-US"/>
        </w:rPr>
        <w:t xml:space="preserve">VII</w:t>
      </w:r>
      <w:r>
        <w:rPr>
          <w:b/>
          <w:szCs w:val="28"/>
        </w:rPr>
        <w:t xml:space="preserve">I. Заходи Програми</w:t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1020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7"/>
      </w:tblGrid>
      <w:tr>
        <w:trPr>
          <w:tblCellSpacing w:w="0" w:type="dxa"/>
        </w:trPr>
        <w:tc>
          <w:tcPr>
            <w:tcW w:w="5000" w:type="pct"/>
            <w:textDirection w:val="lrTb"/>
            <w:noWrap w:val="false"/>
          </w:tcPr>
          <w:tbl>
            <w:tblPr>
              <w:tblW w:w="9678" w:type="dxa"/>
              <w:tblBorders>
                <w:left w:val="single" w:color="000000" w:sz="4" w:space="0"/>
                <w:top w:val="single" w:color="000000" w:sz="4" w:space="0"/>
                <w:right w:val="single" w:color="000000" w:sz="4" w:space="0"/>
                <w:bottom w:val="single" w:color="000000" w:sz="4" w:space="0"/>
                <w:insideV w:val="single" w:color="000000" w:sz="4" w:space="0"/>
                <w:insideH w:val="single" w:color="000000" w:sz="4" w:space="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"/>
              <w:gridCol w:w="3891"/>
              <w:gridCol w:w="1189"/>
              <w:gridCol w:w="2623"/>
              <w:gridCol w:w="1331"/>
            </w:tblGrid>
            <w:tr>
              <w:trPr>
                <w:trHeight w:val="139"/>
              </w:trPr>
              <w:tc>
                <w:tcPr>
                  <w:tcW w:w="645" w:type="dxa"/>
                  <w:vAlign w:val="center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jc w:val="center"/>
                    <w:spacing w:after="0" w:afterAutospacing="0"/>
                    <w:rPr>
                      <w:rFonts w:ascii="Times New Roman" w:hAnsi="Times New Roman"/>
                      <w:b w:val="false"/>
                      <w:sz w:val="22"/>
                    </w:rPr>
                  </w:pPr>
                  <w:r>
                    <w:rPr>
                      <w:rFonts w:ascii="Times New Roman" w:hAnsi="Times New Roman"/>
                      <w:b w:val="false"/>
                      <w:sz w:val="22"/>
                      <w:szCs w:val="24"/>
                      <w:lang w:val="uk-UA"/>
                    </w:rPr>
                    <w:t xml:space="preserve">№</w:t>
                  </w:r>
                  <w:r>
                    <w:rPr>
                      <w:rFonts w:ascii="Times New Roman" w:hAnsi="Times New Roman"/>
                      <w:b w:val="false"/>
                      <w:sz w:val="22"/>
                      <w:szCs w:val="24"/>
                      <w:lang w:val="uk-UA"/>
                    </w:rPr>
                  </w:r>
                  <w:r>
                    <w:rPr>
                      <w:b w:val="false"/>
                      <w:sz w:val="20"/>
                    </w:rPr>
                  </w:r>
                </w:p>
                <w:p>
                  <w:pPr>
                    <w:pStyle w:val="185"/>
                    <w:ind w:left="0" w:right="-141" w:hanging="0"/>
                    <w:jc w:val="center"/>
                    <w:spacing w:after="0" w:afterAutospacing="0"/>
                    <w:rPr>
                      <w:b w:val="false"/>
                      <w:sz w:val="22"/>
                    </w:rPr>
                  </w:pPr>
                  <w:r>
                    <w:rPr>
                      <w:rFonts w:ascii="Times New Roman" w:hAnsi="Times New Roman"/>
                      <w:b w:val="false"/>
                      <w:sz w:val="22"/>
                      <w:szCs w:val="24"/>
                      <w:lang w:val="uk-UA"/>
                    </w:rPr>
                    <w:t xml:space="preserve">п/п</w:t>
                  </w:r>
                  <w:r>
                    <w:rPr>
                      <w:b w:val="false"/>
                      <w:sz w:val="22"/>
                      <w:szCs w:val="24"/>
                      <w:lang w:val="uk-UA"/>
                    </w:rPr>
                  </w:r>
                  <w:r>
                    <w:rPr>
                      <w:b w:val="false"/>
                      <w:sz w:val="20"/>
                    </w:rPr>
                  </w:r>
                </w:p>
              </w:tc>
              <w:tc>
                <w:tcPr>
                  <w:tcW w:w="3891" w:type="dxa"/>
                  <w:vAlign w:val="center"/>
                  <w:textDirection w:val="lrTb"/>
                  <w:noWrap w:val="false"/>
                </w:tcPr>
                <w:p>
                  <w:pPr>
                    <w:ind w:left="0" w:right="-141" w:hanging="0"/>
                    <w:jc w:val="center"/>
                    <w:spacing w:after="0" w:afterAutospacing="0"/>
                    <w:rPr>
                      <w:rFonts w:ascii="Times New Roman" w:hAnsi="Times New Roman"/>
                      <w:b w:val="false"/>
                      <w:sz w:val="22"/>
                    </w:rPr>
                  </w:pPr>
                  <w:r>
                    <w:rPr>
                      <w:rFonts w:ascii="Times New Roman" w:hAnsi="Times New Roman"/>
                      <w:b w:val="false"/>
                      <w:sz w:val="22"/>
                      <w:szCs w:val="24"/>
                    </w:rPr>
                    <w:t xml:space="preserve">Заходи</w:t>
                  </w:r>
                  <w:r>
                    <w:rPr>
                      <w:rFonts w:ascii="Times New Roman" w:hAnsi="Times New Roman"/>
                      <w:b w:val="false"/>
                      <w:sz w:val="22"/>
                      <w:szCs w:val="24"/>
                    </w:rPr>
                  </w:r>
                  <w:r>
                    <w:rPr>
                      <w:b w:val="false"/>
                      <w:sz w:val="20"/>
                    </w:rPr>
                  </w:r>
                </w:p>
              </w:tc>
              <w:tc>
                <w:tcPr>
                  <w:tcW w:w="1189" w:type="dxa"/>
                  <w:vAlign w:val="center"/>
                  <w:textDirection w:val="lrTb"/>
                  <w:noWrap w:val="false"/>
                </w:tcPr>
                <w:p>
                  <w:pPr>
                    <w:ind w:left="0" w:right="-141" w:hanging="0"/>
                    <w:jc w:val="center"/>
                    <w:spacing w:after="0" w:afterAutospacing="0"/>
                    <w:rPr>
                      <w:rFonts w:ascii="Times New Roman" w:hAnsi="Times New Roman"/>
                      <w:b w:val="false"/>
                      <w:sz w:val="22"/>
                    </w:rPr>
                  </w:pPr>
                  <w:r>
                    <w:rPr>
                      <w:rFonts w:ascii="Times New Roman" w:hAnsi="Times New Roman"/>
                      <w:b w:val="false"/>
                      <w:sz w:val="22"/>
                      <w:szCs w:val="24"/>
                    </w:rPr>
                    <w:t xml:space="preserve">Джерела фінансування</w:t>
                  </w:r>
                  <w:r>
                    <w:rPr>
                      <w:rFonts w:ascii="Times New Roman" w:hAnsi="Times New Roman"/>
                      <w:b w:val="false"/>
                      <w:sz w:val="22"/>
                      <w:szCs w:val="24"/>
                    </w:rPr>
                  </w:r>
                  <w:r>
                    <w:rPr>
                      <w:b w:val="false"/>
                      <w:sz w:val="20"/>
                    </w:rPr>
                  </w:r>
                </w:p>
              </w:tc>
              <w:tc>
                <w:tcPr>
                  <w:tcW w:w="2623" w:type="dxa"/>
                  <w:vAlign w:val="center"/>
                  <w:textDirection w:val="lrTb"/>
                  <w:noWrap w:val="false"/>
                </w:tcPr>
                <w:p>
                  <w:pPr>
                    <w:ind w:left="0" w:right="-141" w:hanging="0"/>
                    <w:jc w:val="center"/>
                    <w:spacing w:after="0" w:afterAutospacing="0"/>
                    <w:rPr>
                      <w:rFonts w:ascii="Times New Roman" w:hAnsi="Times New Roman"/>
                      <w:b w:val="false"/>
                      <w:sz w:val="22"/>
                    </w:rPr>
                  </w:pPr>
                  <w:r>
                    <w:rPr>
                      <w:rFonts w:ascii="Times New Roman" w:hAnsi="Times New Roman"/>
                      <w:b w:val="false"/>
                      <w:sz w:val="22"/>
                      <w:szCs w:val="24"/>
                    </w:rPr>
                    <w:t xml:space="preserve">Виконавці</w:t>
                  </w:r>
                  <w:r>
                    <w:rPr>
                      <w:rFonts w:ascii="Times New Roman" w:hAnsi="Times New Roman"/>
                      <w:b w:val="false"/>
                      <w:sz w:val="22"/>
                      <w:szCs w:val="24"/>
                    </w:rPr>
                  </w:r>
                  <w:r>
                    <w:rPr>
                      <w:b w:val="false"/>
                      <w:sz w:val="20"/>
                    </w:rPr>
                  </w:r>
                </w:p>
              </w:tc>
              <w:tc>
                <w:tcPr>
                  <w:tcW w:w="1331" w:type="dxa"/>
                  <w:vAlign w:val="center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jc w:val="center"/>
                    <w:spacing w:after="0" w:afterAutospacing="0"/>
                    <w:rPr>
                      <w:rFonts w:ascii="Times New Roman" w:hAnsi="Times New Roman"/>
                      <w:b w:val="false"/>
                      <w:sz w:val="22"/>
                    </w:rPr>
                  </w:pPr>
                  <w:r>
                    <w:rPr>
                      <w:rFonts w:ascii="Times New Roman" w:hAnsi="Times New Roman"/>
                      <w:b w:val="false"/>
                      <w:sz w:val="22"/>
                      <w:szCs w:val="24"/>
                      <w:lang w:val="uk-UA"/>
                    </w:rPr>
                    <w:t xml:space="preserve">Термін</w:t>
                  </w:r>
                  <w:r>
                    <w:rPr>
                      <w:rFonts w:ascii="Times New Roman" w:hAnsi="Times New Roman"/>
                      <w:b w:val="false"/>
                      <w:sz w:val="22"/>
                      <w:szCs w:val="24"/>
                      <w:lang w:val="uk-UA"/>
                    </w:rPr>
                  </w:r>
                  <w:r>
                    <w:rPr>
                      <w:b w:val="false"/>
                      <w:sz w:val="20"/>
                    </w:rPr>
                  </w:r>
                </w:p>
                <w:p>
                  <w:pPr>
                    <w:pStyle w:val="185"/>
                    <w:ind w:left="0" w:right="-141" w:hanging="0"/>
                    <w:jc w:val="center"/>
                    <w:spacing w:after="0" w:afterAutospacing="0"/>
                    <w:rPr>
                      <w:b w:val="false"/>
                      <w:sz w:val="22"/>
                    </w:rPr>
                  </w:pPr>
                  <w:r>
                    <w:rPr>
                      <w:rFonts w:ascii="Times New Roman" w:hAnsi="Times New Roman"/>
                      <w:b w:val="false"/>
                      <w:sz w:val="22"/>
                      <w:szCs w:val="24"/>
                      <w:lang w:val="uk-UA"/>
                    </w:rPr>
                    <w:t xml:space="preserve">виконання</w:t>
                  </w:r>
                  <w:r>
                    <w:rPr>
                      <w:b w:val="false"/>
                      <w:sz w:val="22"/>
                      <w:szCs w:val="24"/>
                      <w:lang w:val="uk-UA"/>
                    </w:rPr>
                  </w:r>
                  <w:r>
                    <w:rPr>
                      <w:b w:val="false"/>
                      <w:sz w:val="20"/>
                    </w:rPr>
                  </w:r>
                </w:p>
              </w:tc>
            </w:tr>
            <w:tr>
              <w:trPr>
                <w:cantSplit/>
                <w:trHeight w:val="318"/>
              </w:trPr>
              <w:tc>
                <w:tcPr>
                  <w:gridSpan w:val="5"/>
                  <w:tcW w:w="9678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1.Організаційно – методичне забезпечення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r>
                  <w:r/>
                </w:p>
              </w:tc>
            </w:tr>
            <w:tr>
              <w:trPr>
                <w:trHeight w:val="694"/>
              </w:trPr>
              <w:tc>
                <w:tcPr>
                  <w:tcW w:w="645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1.1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  <w:tc>
                <w:tcPr>
                  <w:tcW w:w="3891" w:type="dxa"/>
                  <w:textDirection w:val="lrTb"/>
                  <w:noWrap w:val="false"/>
                </w:tcPr>
                <w:p>
                  <w:pPr>
                    <w:pStyle w:val="185"/>
                    <w:ind w:left="0" w:right="-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Оформлення  інформаційних куточків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для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батьків щодо харчування дітей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.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</w:p>
              </w:tc>
              <w:tc>
                <w:tcPr>
                  <w:tcW w:w="1189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Не потребує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  <w:tc>
                <w:tcPr>
                  <w:tcW w:w="2623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З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аклади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дошкільної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освіти         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  <w:tc>
                <w:tcPr>
                  <w:tcW w:w="1331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20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20-2022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</w:tr>
            <w:tr>
              <w:trPr>
                <w:trHeight w:val="791"/>
              </w:trPr>
              <w:tc>
                <w:tcPr>
                  <w:tcW w:w="645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1.2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  <w:tc>
                <w:tcPr>
                  <w:tcW w:w="3891" w:type="dxa"/>
                  <w:textDirection w:val="lrTb"/>
                  <w:noWrap w:val="false"/>
                </w:tcPr>
                <w:p>
                  <w:pPr>
                    <w:pStyle w:val="185"/>
                    <w:ind w:left="0" w:right="-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Складання та оновлення бази даних дітей, які потребують безкоштовного харчування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.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</w:p>
              </w:tc>
              <w:tc>
                <w:tcPr>
                  <w:tcW w:w="1189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Не потребує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  <w:tc>
                <w:tcPr>
                  <w:tcW w:w="2623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Відділ освіти Менської міської ради,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з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аклади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дошкільної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освіти 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  <w:tc>
                <w:tcPr>
                  <w:tcW w:w="1331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20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20-2022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</w:tr>
            <w:tr>
              <w:trPr>
                <w:trHeight w:val="269"/>
              </w:trPr>
              <w:tc>
                <w:tcPr>
                  <w:tcW w:w="645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1.3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  <w:tc>
                <w:tcPr>
                  <w:tcW w:w="3891" w:type="dxa"/>
                  <w:textDirection w:val="lrTb"/>
                  <w:noWrap w:val="false"/>
                </w:tcPr>
                <w:p>
                  <w:pPr>
                    <w:pStyle w:val="185"/>
                    <w:ind w:left="0" w:right="-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Організація та проведення нарад  для працівників харчоблоків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.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</w:p>
              </w:tc>
              <w:tc>
                <w:tcPr>
                  <w:tcW w:w="1189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Не потребує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  <w:tc>
                <w:tcPr>
                  <w:tcW w:w="2623" w:type="dxa"/>
                  <w:textDirection w:val="lrTb"/>
                  <w:noWrap w:val="false"/>
                </w:tcPr>
                <w:p>
                  <w:pPr>
                    <w:pStyle w:val="185"/>
                    <w:ind w:left="0" w:right="70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Відділ освіти Менської міської ради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,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Держпродспоживслужба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  <w:tc>
                <w:tcPr>
                  <w:tcW w:w="1331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20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20-2022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</w:tr>
            <w:tr>
              <w:trPr>
                <w:cantSplit/>
                <w:trHeight w:val="306"/>
              </w:trPr>
              <w:tc>
                <w:tcPr>
                  <w:gridSpan w:val="5"/>
                  <w:tcW w:w="9678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2. Організація харчування у закладах загальної середньої освіти Менської міської ради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r>
                  <w:r/>
                </w:p>
              </w:tc>
            </w:tr>
            <w:tr>
              <w:trPr>
                <w:trHeight w:val="701"/>
              </w:trPr>
              <w:tc>
                <w:tcPr>
                  <w:tcW w:w="645" w:type="dxa"/>
                  <w:textDirection w:val="lrTb"/>
                  <w:noWrap w:val="false"/>
                </w:tcPr>
                <w:p>
                  <w:pPr>
                    <w:ind w:left="0" w:right="-141" w:hanging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2.1</w:t>
                  </w:r>
                  <w:r>
                    <w:rPr>
                      <w:rFonts w:ascii="Times New Roman" w:hAnsi="Times New Roman"/>
                      <w:bCs/>
                    </w:rPr>
                  </w:r>
                  <w:r/>
                </w:p>
              </w:tc>
              <w:tc>
                <w:tcPr>
                  <w:tcW w:w="3891" w:type="dxa"/>
                  <w:textDirection w:val="lrTb"/>
                  <w:noWrap w:val="false"/>
                </w:tcPr>
                <w:p>
                  <w:pPr>
                    <w:pStyle w:val="185"/>
                    <w:ind w:left="0" w:right="-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Забезпечення безкоштовним харчуванням: дітей-сиріт;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дітей, позбавлених батьківського піклування, дітей з сімей, які отримують допомогу відповідно до Закону України «Про державну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соціальну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допомогу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малозабезпеченим сім’ям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»,</w:t>
                  </w:r>
                  <w:r>
                    <w:rPr>
                      <w:rFonts w:ascii="Times New Roman" w:hAnsi="Times New Roman"/>
                      <w:lang w:val="uk-UA" w:eastAsia="uk-UA"/>
                    </w:rPr>
                    <w:t xml:space="preserve">діти з особливими освітніми потребами, які навчаються в спеціальних і інклюзивних класах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дітей учасників бойових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дій (АТО, ООС), дітей, батьки яких загинули під час виконання службових обов'язків в зоні проведення АТО та зоні проведення ООС, дітей з інвалідністю, дітей постраждалих внаслідок аварії на ЧАЕС та у виняткових випадках (в разі, якщо сім'я опинилась в скла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відділу освіти Менської міської ради).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</w:p>
                <w:p>
                  <w:pPr>
                    <w:pStyle w:val="185"/>
                    <w:ind w:left="0" w:right="-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Оплата 50% від вартості харчування в день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дітей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з багатодітних сімей.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</w:p>
              </w:tc>
              <w:tc>
                <w:tcPr>
                  <w:tcW w:w="1189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Бюджет Менської ОТГ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  <w:tc>
                <w:tcPr>
                  <w:tcW w:w="2623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Відділ освіти Менської міської ради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  <w:tc>
                <w:tcPr>
                  <w:tcW w:w="1331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20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20-2022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</w:tr>
            <w:tr>
              <w:trPr>
                <w:trHeight w:val="783"/>
              </w:trPr>
              <w:tc>
                <w:tcPr>
                  <w:tcW w:w="645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2.2.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  <w:tc>
                <w:tcPr>
                  <w:tcW w:w="3891" w:type="dxa"/>
                  <w:textDirection w:val="lrTb"/>
                  <w:noWrap w:val="false"/>
                </w:tcPr>
                <w:p>
                  <w:pPr>
                    <w:pStyle w:val="185"/>
                    <w:ind w:left="0" w:right="-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Організація раціонального  харчування з урахуванням віку і стану здоров'я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дітей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.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</w:p>
              </w:tc>
              <w:tc>
                <w:tcPr>
                  <w:tcW w:w="1189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Не потребує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  <w:tc>
                <w:tcPr>
                  <w:tcW w:w="2623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З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аклади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дошкільної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освіти         </w:t>
                  </w:r>
                  <w:r>
                    <w:rPr>
                      <w:rFonts w:ascii="Times New Roman" w:hAnsi="Times New Roman"/>
                      <w:b/>
                      <w:lang w:val="uk-UA"/>
                    </w:rPr>
                  </w:r>
                  <w:r/>
                </w:p>
              </w:tc>
              <w:tc>
                <w:tcPr>
                  <w:tcW w:w="1331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20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20-2022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</w:tr>
            <w:tr>
              <w:trPr>
                <w:trHeight w:val="981"/>
              </w:trPr>
              <w:tc>
                <w:tcPr>
                  <w:tcW w:w="645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2.7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  <w:tc>
                <w:tcPr>
                  <w:tcW w:w="3891" w:type="dxa"/>
                  <w:textDirection w:val="lrTb"/>
                  <w:noWrap w:val="false"/>
                </w:tcPr>
                <w:p>
                  <w:pPr>
                    <w:pStyle w:val="185"/>
                    <w:ind w:left="0" w:right="-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Дотримання санітарно-гігієнічних норм щодо організації харчування, оптимального режиму роботи їдалень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.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</w:p>
              </w:tc>
              <w:tc>
                <w:tcPr>
                  <w:tcW w:w="1189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Не потребує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  <w:tc>
                <w:tcPr>
                  <w:tcW w:w="2623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Відділ освіти Менської міської ради,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З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аклади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дошкільної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освіти         </w:t>
                  </w:r>
                  <w:r>
                    <w:rPr>
                      <w:rFonts w:ascii="Times New Roman" w:hAnsi="Times New Roman"/>
                      <w:b/>
                      <w:lang w:val="uk-UA"/>
                    </w:rPr>
                  </w:r>
                  <w:r/>
                </w:p>
              </w:tc>
              <w:tc>
                <w:tcPr>
                  <w:tcW w:w="1331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20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20-2022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</w:tr>
            <w:tr>
              <w:trPr>
                <w:cantSplit/>
                <w:trHeight w:val="309"/>
              </w:trPr>
              <w:tc>
                <w:tcPr>
                  <w:gridSpan w:val="5"/>
                  <w:tcW w:w="9678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3. Підвищення якості харчування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учнів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r>
                  <w:r/>
                </w:p>
              </w:tc>
            </w:tr>
            <w:tr>
              <w:trPr>
                <w:trHeight w:val="519"/>
              </w:trPr>
              <w:tc>
                <w:tcPr>
                  <w:tcW w:w="645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3.1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  <w:tc>
                <w:tcPr>
                  <w:tcW w:w="3891" w:type="dxa"/>
                  <w:textDirection w:val="lrTb"/>
                  <w:noWrap w:val="false"/>
                </w:tcPr>
                <w:p>
                  <w:pPr>
                    <w:pStyle w:val="185"/>
                    <w:ind w:left="0" w:right="-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Розширення асортименту страв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.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</w:p>
              </w:tc>
              <w:tc>
                <w:tcPr>
                  <w:tcW w:w="1189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Не потребує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  <w:tc>
                <w:tcPr>
                  <w:tcW w:w="2623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З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аклади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дошкільної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освіти         </w:t>
                  </w:r>
                  <w:r>
                    <w:rPr>
                      <w:rFonts w:ascii="Times New Roman" w:hAnsi="Times New Roman"/>
                      <w:b/>
                      <w:lang w:val="uk-UA"/>
                    </w:rPr>
                  </w:r>
                  <w:r/>
                </w:p>
              </w:tc>
              <w:tc>
                <w:tcPr>
                  <w:tcW w:w="1331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 20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20-2022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</w:tr>
            <w:tr>
              <w:trPr>
                <w:trHeight w:val="980"/>
              </w:trPr>
              <w:tc>
                <w:tcPr>
                  <w:tcW w:w="645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3.2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  <w:tc>
                <w:tcPr>
                  <w:tcW w:w="3891" w:type="dxa"/>
                  <w:textDirection w:val="lrTb"/>
                  <w:noWrap w:val="false"/>
                </w:tcPr>
                <w:p>
                  <w:pPr>
                    <w:pStyle w:val="185"/>
                    <w:ind w:left="0" w:right="-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Розробка перспективного меню з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виконання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норм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харчування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відп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овідно до чинного законодавства.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</w:p>
              </w:tc>
              <w:tc>
                <w:tcPr>
                  <w:tcW w:w="1189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Не потребує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  <w:tc>
                <w:tcPr>
                  <w:tcW w:w="2623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З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аклади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дошкільної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освіти         </w:t>
                  </w:r>
                  <w:r>
                    <w:rPr>
                      <w:rFonts w:ascii="Times New Roman" w:hAnsi="Times New Roman"/>
                      <w:b/>
                      <w:lang w:val="uk-UA"/>
                    </w:rPr>
                  </w:r>
                  <w:r/>
                </w:p>
              </w:tc>
              <w:tc>
                <w:tcPr>
                  <w:tcW w:w="1331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 20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20-2022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</w:tr>
            <w:tr>
              <w:trPr>
                <w:trHeight w:val="1253"/>
              </w:trPr>
              <w:tc>
                <w:tcPr>
                  <w:tcW w:w="645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3.3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  <w:tc>
                <w:tcPr>
                  <w:tcW w:w="3891" w:type="dxa"/>
                  <w:textDirection w:val="lrTb"/>
                  <w:noWrap w:val="false"/>
                </w:tcPr>
                <w:p>
                  <w:pPr>
                    <w:pStyle w:val="185"/>
                    <w:ind w:left="0" w:right="-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Контроль за якістю та безпекою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харчування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,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дотриманням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термінів, умов зберігання та реалізації продуктів, за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поставкою продуктів харчування.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</w:p>
              </w:tc>
              <w:tc>
                <w:tcPr>
                  <w:tcW w:w="1189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Не потребує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  <w:tc>
                <w:tcPr>
                  <w:tcW w:w="2623" w:type="dxa"/>
                  <w:textDirection w:val="lrTb"/>
                  <w:noWrap w:val="false"/>
                </w:tcPr>
                <w:p>
                  <w:pPr>
                    <w:pStyle w:val="185"/>
                    <w:ind w:left="0" w:right="-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Відділ освіти Менської міської ради,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з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аклади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дошкільної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освіти</w:t>
                  </w:r>
                  <w:r>
                    <w:rPr>
                      <w:rFonts w:ascii="Times New Roman" w:hAnsi="Times New Roman"/>
                      <w:b/>
                      <w:lang w:val="uk-UA"/>
                    </w:rPr>
                  </w:r>
                  <w:r/>
                </w:p>
              </w:tc>
              <w:tc>
                <w:tcPr>
                  <w:tcW w:w="1331" w:type="dxa"/>
                  <w:textDirection w:val="lrTb"/>
                  <w:noWrap w:val="false"/>
                </w:tcPr>
                <w:p>
                  <w:pPr>
                    <w:pStyle w:val="185"/>
                    <w:ind w:left="0" w:right="-141" w:hanging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20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20-2022</w:t>
                  </w:r>
                  <w:r>
                    <w:rPr>
                      <w:rFonts w:ascii="Times New Roman" w:hAnsi="Times New Roman"/>
                      <w:lang w:val="uk-UA"/>
                    </w:rPr>
                  </w:r>
                  <w:r/>
                </w:p>
              </w:tc>
            </w:tr>
          </w:tbl>
          <w:p>
            <w:pPr>
              <w:ind w:left="0" w:right="-141" w:hanging="0"/>
              <w:jc w:val="both"/>
              <w:spacing w:lineRule="auto" w:line="240" w:after="0"/>
              <w:rPr>
                <w:rFonts w:ascii="Times New Roman" w:hAnsi="Times New Roman" w:eastAsia="Batang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r>
            <w:r/>
          </w:p>
        </w:tc>
      </w:tr>
    </w:tbl>
    <w:p>
      <w:pPr>
        <w:pStyle w:val="182"/>
        <w:ind w:left="0" w:right="-141" w:hanging="0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/>
    </w:p>
    <w:sectPr>
      <w:footnotePr/>
      <w:type w:val="nextPage"/>
      <w:pgSz w:w="11906" w:h="16838"/>
      <w:pgMar w:top="851" w:right="1134" w:bottom="851" w:left="1134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BatangChe">
    <w:panose1 w:val="02020603020101020101"/>
  </w:font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1"/>
      <w:numFmt w:val="bullet"/>
      <w:suff w:val="tab"/>
      <w:lvlText w:val="-"/>
      <w:lvlJc w:val="left"/>
      <w:pPr>
        <w:ind w:left="1647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2367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3087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807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527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247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967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687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407" w:hanging="359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59"/>
      </w:pPr>
    </w:lvl>
    <w:lvl w:ilvl="2">
      <w:start w:val="1"/>
      <w:numFmt w:val="lowerRoman"/>
      <w:suff w:val="tab"/>
      <w:lvlText w:val="%3."/>
      <w:lvlJc w:val="right"/>
      <w:pPr>
        <w:ind w:left="2520" w:hanging="179"/>
      </w:pPr>
    </w:lvl>
    <w:lvl w:ilvl="3">
      <w:start w:val="1"/>
      <w:numFmt w:val="decimal"/>
      <w:suff w:val="tab"/>
      <w:lvlText w:val="%4."/>
      <w:lvlJc w:val="left"/>
      <w:pPr>
        <w:ind w:left="3240" w:hanging="359"/>
      </w:pPr>
    </w:lvl>
    <w:lvl w:ilvl="4">
      <w:start w:val="1"/>
      <w:numFmt w:val="lowerLetter"/>
      <w:suff w:val="tab"/>
      <w:lvlText w:val="%5."/>
      <w:lvlJc w:val="left"/>
      <w:pPr>
        <w:ind w:left="3960" w:hanging="359"/>
      </w:pPr>
    </w:lvl>
    <w:lvl w:ilvl="5">
      <w:start w:val="1"/>
      <w:numFmt w:val="lowerRoman"/>
      <w:suff w:val="tab"/>
      <w:lvlText w:val="%6."/>
      <w:lvlJc w:val="right"/>
      <w:pPr>
        <w:ind w:left="4680" w:hanging="179"/>
      </w:pPr>
    </w:lvl>
    <w:lvl w:ilvl="6">
      <w:start w:val="1"/>
      <w:numFmt w:val="decimal"/>
      <w:suff w:val="tab"/>
      <w:lvlText w:val="%7."/>
      <w:lvlJc w:val="left"/>
      <w:pPr>
        <w:ind w:left="5400" w:hanging="359"/>
      </w:pPr>
    </w:lvl>
    <w:lvl w:ilvl="7">
      <w:start w:val="1"/>
      <w:numFmt w:val="lowerLetter"/>
      <w:suff w:val="tab"/>
      <w:lvlText w:val="%8."/>
      <w:lvlJc w:val="left"/>
      <w:pPr>
        <w:ind w:left="6120" w:hanging="359"/>
      </w:pPr>
    </w:lvl>
    <w:lvl w:ilvl="8">
      <w:start w:val="1"/>
      <w:numFmt w:val="lowerRoman"/>
      <w:suff w:val="tab"/>
      <w:lvlText w:val="%9."/>
      <w:lvlJc w:val="right"/>
      <w:pPr>
        <w:ind w:left="6840" w:hanging="179"/>
      </w:pPr>
    </w:lvl>
  </w:abstractNum>
  <w:abstractNum w:abstractNumId="3">
    <w:multiLevelType w:val="hybridMultilevel"/>
    <w:lvl w:ilvl="0">
      <w:start w:val="3"/>
      <w:numFmt w:val="bullet"/>
      <w:suff w:val="tab"/>
      <w:lvlText w:val=""/>
      <w:lvlJc w:val="left"/>
      <w:pPr>
        <w:ind w:left="720" w:hanging="359"/>
      </w:pPr>
      <w:rPr>
        <w:rFonts w:ascii="Symbol" w:hAnsi="Symbol" w:cs="Times New Roman" w:eastAsia="Batang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5"/>
      <w:numFmt w:val="bullet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1"/>
      <w:numFmt w:val="bullet"/>
      <w:suff w:val="tab"/>
      <w:lvlText w:val="-"/>
      <w:lvlJc w:val="left"/>
      <w:pPr>
        <w:ind w:left="1647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2367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3087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807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527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247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967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687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407" w:hanging="359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5"/>
      <w:numFmt w:val="bullet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5"/>
      <w:numFmt w:val="bullet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72"/>
    <w:next w:val="1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7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72"/>
    <w:next w:val="1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7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72"/>
    <w:next w:val="1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2"/>
    <w:next w:val="1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2"/>
    <w:next w:val="1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2"/>
    <w:next w:val="1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2"/>
    <w:next w:val="1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2"/>
    <w:next w:val="1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2"/>
    <w:next w:val="1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172"/>
    <w:next w:val="1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3"/>
    <w:link w:val="32"/>
    <w:uiPriority w:val="10"/>
    <w:rPr>
      <w:sz w:val="48"/>
      <w:szCs w:val="48"/>
    </w:rPr>
  </w:style>
  <w:style w:type="paragraph" w:styleId="34">
    <w:name w:val="Subtitle"/>
    <w:basedOn w:val="172"/>
    <w:next w:val="1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3"/>
    <w:link w:val="34"/>
    <w:uiPriority w:val="11"/>
    <w:rPr>
      <w:sz w:val="24"/>
      <w:szCs w:val="24"/>
    </w:rPr>
  </w:style>
  <w:style w:type="paragraph" w:styleId="36">
    <w:name w:val="Quote"/>
    <w:basedOn w:val="172"/>
    <w:next w:val="1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2"/>
    <w:next w:val="1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73"/>
    <w:link w:val="40"/>
    <w:uiPriority w:val="99"/>
  </w:style>
  <w:style w:type="paragraph" w:styleId="42">
    <w:name w:val="Footer"/>
    <w:basedOn w:val="17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73"/>
    <w:link w:val="42"/>
    <w:uiPriority w:val="99"/>
  </w:style>
  <w:style w:type="table" w:styleId="45">
    <w:name w:val="Lined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72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3"/>
    <w:uiPriority w:val="99"/>
    <w:unhideWhenUsed/>
    <w:rPr>
      <w:vertAlign w:val="superscript"/>
    </w:rPr>
  </w:style>
  <w:style w:type="paragraph" w:styleId="70">
    <w:name w:val="toc 1"/>
    <w:basedOn w:val="172"/>
    <w:next w:val="172"/>
    <w:uiPriority w:val="39"/>
    <w:unhideWhenUsed/>
    <w:pPr>
      <w:ind w:left="0" w:right="0" w:hanging="0"/>
      <w:spacing w:after="57"/>
    </w:pPr>
  </w:style>
  <w:style w:type="paragraph" w:styleId="71">
    <w:name w:val="toc 2"/>
    <w:basedOn w:val="172"/>
    <w:next w:val="172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72"/>
    <w:next w:val="172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72"/>
    <w:next w:val="172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72"/>
    <w:next w:val="172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72"/>
    <w:next w:val="172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72"/>
    <w:next w:val="172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72"/>
    <w:next w:val="172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72"/>
    <w:next w:val="172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72" w:default="1">
    <w:name w:val="Normal"/>
    <w:qFormat/>
    <w:rPr>
      <w:rFonts w:ascii="Calibri" w:hAnsi="Calibri" w:cs="Times New Roman" w:eastAsia="Calibri"/>
    </w:rPr>
    <w:pPr>
      <w:spacing w:lineRule="auto" w:line="259" w:after="160"/>
    </w:pPr>
  </w:style>
  <w:style w:type="character" w:styleId="173" w:default="1">
    <w:name w:val="Default Paragraph Font"/>
    <w:uiPriority w:val="1"/>
    <w:semiHidden/>
    <w:unhideWhenUsed/>
  </w:style>
  <w:style w:type="table" w:styleId="17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75" w:default="1">
    <w:name w:val="No List"/>
    <w:uiPriority w:val="99"/>
    <w:semiHidden/>
    <w:unhideWhenUsed/>
  </w:style>
  <w:style w:type="paragraph" w:styleId="176">
    <w:name w:val="Balloon Text"/>
    <w:basedOn w:val="172"/>
    <w:link w:val="17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77" w:customStyle="1">
    <w:name w:val="Текст выноски Знак"/>
    <w:basedOn w:val="173"/>
    <w:link w:val="176"/>
    <w:uiPriority w:val="99"/>
    <w:semiHidden/>
    <w:rPr>
      <w:rFonts w:ascii="Tahoma" w:hAnsi="Tahoma" w:cs="Tahoma" w:eastAsia="Calibri"/>
      <w:sz w:val="16"/>
      <w:szCs w:val="16"/>
    </w:rPr>
  </w:style>
  <w:style w:type="paragraph" w:styleId="178">
    <w:name w:val="Normal (Web)"/>
    <w:basedOn w:val="172"/>
    <w:uiPriority w:val="99"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179" w:customStyle="1">
    <w:name w:val="docdata"/>
    <w:basedOn w:val="172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180" w:customStyle="1">
    <w:name w:val="4386"/>
    <w:basedOn w:val="173"/>
  </w:style>
  <w:style w:type="table" w:styleId="181">
    <w:name w:val="Table Grid"/>
    <w:basedOn w:val="1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82">
    <w:name w:val="List Paragraph"/>
    <w:basedOn w:val="172"/>
    <w:qFormat/>
    <w:uiPriority w:val="34"/>
    <w:pPr>
      <w:contextualSpacing w:val="true"/>
      <w:ind w:left="720"/>
    </w:pPr>
  </w:style>
  <w:style w:type="paragraph" w:styleId="183">
    <w:name w:val="HTML Preformatted"/>
    <w:basedOn w:val="172"/>
    <w:link w:val="184"/>
    <w:uiPriority w:val="99"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84" w:customStyle="1">
    <w:name w:val="Стандартный HTML Знак"/>
    <w:basedOn w:val="173"/>
    <w:link w:val="183"/>
    <w:uiPriority w:val="99"/>
    <w:rPr>
      <w:rFonts w:ascii="Courier New" w:hAnsi="Courier New" w:cs="Courier New" w:eastAsia="Times New Roman"/>
      <w:sz w:val="20"/>
      <w:szCs w:val="20"/>
      <w:lang w:eastAsia="uk-UA"/>
    </w:rPr>
  </w:style>
  <w:style w:type="paragraph" w:styleId="185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paragraph" w:styleId="186">
    <w:name w:val="Body Text Indent"/>
    <w:basedOn w:val="172"/>
    <w:link w:val="187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187" w:customStyle="1">
    <w:name w:val="Основной текст с отступом Знак"/>
    <w:basedOn w:val="173"/>
    <w:link w:val="186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188" w:customStyle="1">
    <w:name w:val="1332"/>
    <w:basedOn w:val="173"/>
  </w:style>
  <w:style w:type="character" w:styleId="189" w:customStyle="1">
    <w:name w:val="4247"/>
    <w:basedOn w:val="173"/>
  </w:style>
  <w:style w:type="character" w:styleId="190" w:customStyle="1">
    <w:name w:val="4285"/>
    <w:basedOn w:val="173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