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/>
      <w:bookmarkStart w:id="0" w:name="_Toc503906852"/>
      <w:r>
        <w:rPr>
          <w:rFonts w:ascii="Times New Roman" w:hAnsi="Times New Roman" w:cs="Mangal" w:eastAsia="Lucida Sans Unicode"/>
          <w:b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after="0"/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(тридцять шоста сесія сьомого скликання)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39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 грудня  2019 року</w:t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686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/>
    </w:p>
    <w:p>
      <w:pPr>
        <w:ind w:left="15" w:hanging="13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numPr>
          <w:ilvl w:val="3"/>
          <w:numId w:val="0"/>
        </w:numPr>
        <w:ind w:left="0" w:right="5244" w:hanging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4252" w:leader="none"/>
          <w:tab w:val="left" w:pos="4394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ar-SA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  <w:t xml:space="preserve">Програми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ar-SA"/>
        </w:rPr>
        <w:t xml:space="preserve">розвитку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Макошинське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» Менської міської ради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eastAsia="ru-RU"/>
        </w:rPr>
        <w:t xml:space="preserve"> на 2020-2022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eastAsia="ru-RU"/>
        </w:rPr>
        <w:t xml:space="preserve"> р</w:t>
      </w:r>
      <w:bookmarkEnd w:id="0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eastAsia="ru-RU"/>
        </w:rPr>
        <w:t xml:space="preserve">оки</w:t>
      </w:r>
      <w:r/>
    </w:p>
    <w:p>
      <w:pPr>
        <w:jc w:val="both"/>
        <w:spacing w:lineRule="auto" w:line="259" w:after="160"/>
        <w:tabs>
          <w:tab w:val="left" w:pos="567" w:leader="none"/>
        </w:tabs>
        <w:rPr>
          <w:rFonts w:ascii="Times New Roman" w:hAnsi="Times New Roman" w:cs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Droid Sans"/>
          <w:sz w:val="28"/>
          <w:szCs w:val="28"/>
          <w:lang w:bidi="hi-IN" w:eastAsia="hi-IN"/>
        </w:rPr>
      </w:r>
      <w:r/>
    </w:p>
    <w:p>
      <w:pPr>
        <w:pStyle w:val="278"/>
        <w:spacing w:after="0"/>
        <w:rPr>
          <w:lang w:val="uk-UA" w:eastAsia="ru-RU"/>
        </w:rPr>
      </w:pPr>
      <w:r>
        <w:rPr>
          <w:rFonts w:eastAsia="Droid Sans"/>
          <w:szCs w:val="28"/>
          <w:lang w:val="uk-UA" w:bidi="hi-IN" w:eastAsia="hi-IN"/>
        </w:rPr>
        <w:t xml:space="preserve">Керуючись </w:t>
      </w:r>
      <w:r>
        <w:rPr>
          <w:rFonts w:eastAsia="Droid Sans"/>
          <w:szCs w:val="28"/>
          <w:lang w:val="uk-UA" w:bidi="hi-IN" w:eastAsia="hi-IN"/>
        </w:rPr>
        <w:t xml:space="preserve">пунктом 22 статті 26</w:t>
      </w:r>
      <w:r>
        <w:rPr>
          <w:rFonts w:eastAsia="Droid Sans"/>
          <w:szCs w:val="28"/>
          <w:lang w:val="uk-UA" w:bidi="hi-IN" w:eastAsia="hi-IN"/>
        </w:rPr>
        <w:t xml:space="preserve"> Закону України «Про місцеве самоврядування в Україні»,</w:t>
      </w:r>
      <w:r>
        <w:rPr>
          <w:lang w:val="uk-UA" w:eastAsia="ru-RU"/>
        </w:rPr>
        <w:t xml:space="preserve">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В И Р І Ш И Л А</w:t>
      </w: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:</w:t>
      </w:r>
      <w:r/>
    </w:p>
    <w:p>
      <w:pPr>
        <w:pStyle w:val="272"/>
        <w:numPr>
          <w:ilvl w:val="0"/>
          <w:numId w:val="1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Затвердити Програму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розвитку комунального підприємства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» Менської міської ради на 2020-2022 роки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(далі – Програма) згідно додатку до даного рішення – додається.</w:t>
      </w:r>
      <w:r/>
    </w:p>
    <w:p>
      <w:pPr>
        <w:pStyle w:val="272"/>
        <w:numPr>
          <w:ilvl w:val="0"/>
          <w:numId w:val="11"/>
        </w:numPr>
        <w:ind w:left="0" w:right="0" w:hanging="0"/>
        <w:jc w:val="both"/>
        <w:spacing w:lineRule="auto" w:line="259" w:after="0"/>
        <w:tabs>
          <w:tab w:val="left" w:pos="709" w:leader="none"/>
        </w:tabs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  <w:t xml:space="preserve">Фінансовому управлінню Менської міської ради під час формування проекту бюджету Менської міської об’єднаної територіальної громади передбачити асигнування на фінансування Програми.</w:t>
      </w:r>
      <w:r/>
    </w:p>
    <w:p>
      <w:pPr>
        <w:pStyle w:val="272"/>
        <w:numPr>
          <w:ilvl w:val="0"/>
          <w:numId w:val="11"/>
        </w:numPr>
        <w:ind w:left="0" w:right="0" w:hanging="0"/>
        <w:jc w:val="both"/>
        <w:spacing w:lineRule="auto" w:line="259" w:after="160"/>
        <w:tabs>
          <w:tab w:val="left" w:pos="709" w:leader="none"/>
        </w:tabs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  <w:t xml:space="preserve">Контроль за виконанням  цього рішення покласти на заступника міського голови з питань діяльності виконкому міської ради </w:t>
      </w: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  <w:t xml:space="preserve">Гайдукевича</w:t>
      </w: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  <w:t xml:space="preserve"> М.В. </w:t>
      </w:r>
      <w:r/>
    </w:p>
    <w:p>
      <w:pPr>
        <w:ind w:firstLine="851"/>
        <w:jc w:val="both"/>
        <w:spacing w:lineRule="auto" w:line="259" w:after="160"/>
        <w:tabs>
          <w:tab w:val="left" w:pos="567" w:leader="none"/>
        </w:tabs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59" w:after="160"/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59" w:after="160"/>
        <w:tabs>
          <w:tab w:val="left" w:pos="6946" w:leader="none"/>
        </w:tabs>
        <w:rPr>
          <w:rFonts w:ascii="Times New Roman" w:hAnsi="Times New Roman" w:cs="Times New Roman" w:eastAsia="Droid Sans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</w:t>
      </w:r>
      <w:r>
        <w:rPr>
          <w:rFonts w:ascii="Times New Roman" w:hAnsi="Times New Roman" w:cs="Times New Roman" w:eastAsia="Droid Sans"/>
          <w:b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Times New Roman" w:eastAsia="Droid Sans"/>
          <w:b/>
          <w:sz w:val="28"/>
          <w:szCs w:val="28"/>
          <w:lang w:val="uk-UA" w:bidi="hi-IN" w:eastAsia="hi-IN"/>
        </w:rPr>
        <w:t xml:space="preserve">Г.А. Примаков</w:t>
      </w:r>
      <w:r/>
    </w:p>
    <w:p>
      <w:pPr>
        <w:jc w:val="both"/>
        <w:spacing w:lineRule="auto" w:line="259" w:after="160"/>
        <w:rPr>
          <w:rFonts w:ascii="Times New Roman" w:hAnsi="Times New Roman" w:cs="Times New Roman" w:eastAsia="Droid Sans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br w:type="page"/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</w:rPr>
        <w:t xml:space="preserve">Додаток</w:t>
      </w:r>
      <w:r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рішення</w:t>
      </w:r>
      <w:r>
        <w:rPr>
          <w:rFonts w:ascii="Times New Roman" w:hAnsi="Times New Roman"/>
          <w:sz w:val="20"/>
          <w:szCs w:val="20"/>
        </w:rPr>
        <w:t xml:space="preserve"> 36 </w:t>
      </w:r>
      <w:r>
        <w:rPr>
          <w:rFonts w:ascii="Times New Roman" w:hAnsi="Times New Roman"/>
          <w:sz w:val="20"/>
          <w:szCs w:val="20"/>
        </w:rPr>
        <w:t xml:space="preserve">сесії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Менської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міської</w:t>
      </w:r>
      <w:r>
        <w:rPr>
          <w:rFonts w:ascii="Times New Roman" w:hAnsi="Times New Roman"/>
          <w:sz w:val="20"/>
          <w:szCs w:val="20"/>
        </w:rPr>
        <w:t xml:space="preserve"> ради 7 </w:t>
      </w:r>
      <w:r>
        <w:rPr>
          <w:rFonts w:ascii="Times New Roman" w:hAnsi="Times New Roman"/>
          <w:sz w:val="20"/>
          <w:szCs w:val="20"/>
        </w:rPr>
        <w:t xml:space="preserve">скликання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від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26.12.2019 р.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«Про затвердження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Програми розвитку комунального підприємства «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Макошинське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» Менської міської ради на 2020-2022 роки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»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№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686</w:t>
      </w:r>
      <w:bookmarkStart w:id="1" w:name="_GoBack"/>
      <w:r/>
      <w:bookmarkEnd w:id="1"/>
      <w:r/>
      <w:r/>
    </w:p>
    <w:p>
      <w:pPr>
        <w:jc w:val="center"/>
        <w:keepNext/>
        <w:spacing w:lineRule="auto" w:line="240" w:after="0"/>
        <w:widowControl w:val="off"/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</w:pP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</w:r>
      <w:r/>
    </w:p>
    <w:p>
      <w:pPr>
        <w:jc w:val="center"/>
        <w:keepNext/>
        <w:spacing w:lineRule="auto" w:line="240" w:after="0"/>
        <w:widowControl w:val="off"/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</w:pP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Програма</w:t>
      </w:r>
      <w:r/>
    </w:p>
    <w:p>
      <w:pPr>
        <w:jc w:val="center"/>
        <w:keepNext/>
        <w:spacing w:lineRule="auto" w:line="240" w:after="0"/>
        <w:widowControl w:val="off"/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</w:pP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розвитку</w:t>
      </w: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 комунального підприємства </w:t>
      </w: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«Макошинськ</w:t>
      </w: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е» Менської міської ради на 2020-</w:t>
      </w: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2022 ро</w:t>
      </w: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к</w:t>
      </w:r>
      <w:r>
        <w:rPr>
          <w:rFonts w:ascii="Times New Roman" w:hAnsi="Times New Roman" w:cs="Times New Roman" w:eastAsia="Droid Sans"/>
          <w:b/>
          <w:bCs/>
          <w:sz w:val="64"/>
          <w:szCs w:val="64"/>
          <w:lang w:val="uk-UA" w:eastAsia="ar-SA"/>
        </w:rPr>
        <w:t xml:space="preserve">и</w:t>
      </w:r>
      <w:r>
        <w:rPr>
          <w:rFonts w:ascii="Times New Roman" w:hAnsi="Times New Roman" w:cs="Times New Roman" w:eastAsia="Droid Sans"/>
          <w:sz w:val="24"/>
          <w:szCs w:val="24"/>
          <w:lang w:val="uk-UA" w:eastAsia="uk-UA"/>
        </w:rPr>
      </w:r>
      <w:r/>
    </w:p>
    <w:p>
      <w:pPr>
        <w:jc w:val="center"/>
        <w:spacing w:lineRule="auto" w:line="240" w:after="120"/>
        <w:widowControl w:val="off"/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r>
      <w:r>
        <w:rPr>
          <w:rFonts w:ascii="Times New Roman" w:hAnsi="Times New Roman" w:cs="Times New Roman" w:eastAsia="Droid Sans"/>
          <w:sz w:val="24"/>
          <w:szCs w:val="24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9873" cy="3638548"/>
                <wp:effectExtent l="0" t="0" r="9523" b="0"/>
                <wp:docPr id="2" name="Рисунок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6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809874" cy="363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21.2pt;height:286.5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r>
      <w:r/>
    </w:p>
    <w:p>
      <w:pPr>
        <w:jc w:val="center"/>
        <w:spacing w:lineRule="auto" w:line="240" w:after="120"/>
        <w:widowControl w:val="off"/>
        <w:rPr>
          <w:bCs/>
          <w:szCs w:val="24"/>
        </w:rPr>
      </w:pP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r>
      <w:r/>
    </w:p>
    <w:p>
      <w:pPr>
        <w:jc w:val="center"/>
        <w:spacing w:lineRule="auto" w:line="240" w:after="120"/>
        <w:widowControl w:val="off"/>
        <w:rPr>
          <w:szCs w:val="24"/>
        </w:rPr>
      </w:pPr>
      <w:r>
        <w:rPr>
          <w:szCs w:val="24"/>
        </w:rPr>
      </w:r>
      <w:r/>
    </w:p>
    <w:p>
      <w:pPr>
        <w:jc w:val="center"/>
        <w:spacing w:lineRule="auto" w:line="240" w:after="120"/>
        <w:widowControl w:val="off"/>
        <w:rPr>
          <w:rFonts w:ascii="Times New Roman" w:hAnsi="Times New Roman" w:cs="Lohit Hindi" w:eastAsia="Droid Sans"/>
          <w:b/>
          <w:sz w:val="24"/>
          <w:szCs w:val="24"/>
          <w:lang w:val="uk-UA" w:eastAsia="ar-SA"/>
        </w:rPr>
      </w:pPr>
      <w:r>
        <w:rPr>
          <w:rFonts w:ascii="Times New Roman" w:hAnsi="Times New Roman" w:cs="Lohit Hindi" w:eastAsia="Droid Sans"/>
          <w:b/>
          <w:sz w:val="24"/>
          <w:szCs w:val="24"/>
          <w:lang w:val="uk-UA" w:eastAsia="ar-SA"/>
        </w:rPr>
      </w:r>
      <w:r/>
    </w:p>
    <w:p>
      <w:pPr>
        <w:jc w:val="center"/>
        <w:spacing w:lineRule="auto" w:line="240" w:after="120"/>
        <w:widowControl w:val="off"/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r>
      <w:r/>
    </w:p>
    <w:p>
      <w:pPr>
        <w:jc w:val="center"/>
        <w:spacing w:lineRule="auto" w:line="240" w:after="120"/>
        <w:widowControl w:val="off"/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r>
      <w:r/>
    </w:p>
    <w:p>
      <w:pPr>
        <w:jc w:val="center"/>
        <w:spacing w:lineRule="auto" w:line="240" w:after="120"/>
        <w:widowControl w:val="off"/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  <w:t xml:space="preserve">м. Мена-2020</w:t>
      </w:r>
      <w:r>
        <w:rPr>
          <w:rFonts w:ascii="Times New Roman" w:hAnsi="Times New Roman" w:cs="Lohit Hindi" w:eastAsia="Droid Sans"/>
          <w:b/>
          <w:bCs/>
          <w:sz w:val="24"/>
          <w:szCs w:val="24"/>
          <w:lang w:val="uk-UA" w:eastAsia="ar-SA"/>
        </w:rPr>
        <w:t xml:space="preserve"> р.</w:t>
      </w:r>
      <w:r/>
    </w:p>
    <w:p>
      <w:pPr>
        <w:jc w:val="center"/>
        <w:spacing w:lineRule="auto" w:line="240" w:after="120"/>
        <w:widowControl w:val="off"/>
        <w:rPr>
          <w:rFonts w:ascii="Times New Roman" w:hAnsi="Times New Roman" w:cs="Times New Roman" w:eastAsia="Droid Sans"/>
          <w:sz w:val="32"/>
          <w:szCs w:val="32"/>
          <w:lang w:val="uk-UA" w:eastAsia="ar-SA"/>
        </w:rPr>
      </w:pPr>
      <w:r>
        <w:rPr>
          <w:rFonts w:ascii="Times New Roman" w:hAnsi="Times New Roman" w:cs="Times New Roman" w:eastAsia="Droid Sans"/>
          <w:sz w:val="32"/>
          <w:szCs w:val="32"/>
          <w:lang w:val="uk-UA" w:eastAsia="ar-SA"/>
        </w:rPr>
      </w:r>
      <w:r/>
    </w:p>
    <w:p>
      <w:pPr>
        <w:jc w:val="center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Програма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озвит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акошинське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20-2022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и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1.Загальні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положення</w:t>
      </w:r>
      <w:r/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є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засновником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власником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Конституції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Господарського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Цивільного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Кодексів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Закону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місцеве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уповноважена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здійснювати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володіння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користування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майном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інтересах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Реалізація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заходів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передбачених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Програмою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Конституції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Закону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місцеве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Бюджетного кодексу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наказу МФУ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14.02.2011 року №96 «Про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типової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відомчої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класифікації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видатків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кредитування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місцевих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бюджетів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нормативно-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правових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актів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2.Сучасний стан комунального підприємства</w:t>
      </w:r>
      <w:r/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 Менській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об’єднаній територіальній громаді зд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ійснює свою діяльність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комуна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льне підприємство  «М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акошинське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Для забезпечення виконання завдань, передбачених в установчих документах, комунальні підприємства нерідко потребують залучення додаткового фінансування, яке сприятиме більш ефективному використанню комунального майна, оновленню виробничих потужностей, зміц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ненню матеріально-технічної бази підприємств та забезпеченню повного і своєчасного проведення розрахунків з бюджетом.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.Мета програми</w:t>
      </w:r>
      <w:r/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 майна громади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розвиток КП «Макошинське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», розширення переліку послуг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що надаються комунальним підприємством жителям громади.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 Обґрунтування шляхів і засобів розв’язання проблеми, обсяг та джерела фінансування, строки та етапи виконання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Фінансування заходів з виконання Програми здійснюється за рахунок коштів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Менської міської об’єднаної територіальної громади та  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Державного бюджету.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jc w:val="both"/>
        <w:spacing w:lineRule="auto" w:line="240" w:after="0" w:afterAutospacing="0"/>
        <w:tabs>
          <w:tab w:val="left" w:pos="284" w:leader="none"/>
          <w:tab w:val="left" w:pos="203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сурсу бюджету Менської міської об’єднаної територіальної громади.</w:t>
      </w:r>
      <w:r/>
    </w:p>
    <w:p>
      <w:pPr>
        <w:jc w:val="both"/>
        <w:spacing w:lineRule="auto" w:line="240" w:after="0" w:afterAutospacing="0"/>
        <w:tabs>
          <w:tab w:val="left" w:pos="284" w:leader="none"/>
          <w:tab w:val="left" w:pos="2038" w:leader="none"/>
        </w:tabs>
        <w:rPr>
          <w:rStyle w:val="275"/>
          <w:rFonts w:eastAsia="Calibri"/>
          <w:b w:val="false"/>
          <w:bCs w:val="false"/>
          <w:color w:val="auto"/>
          <w:sz w:val="28"/>
          <w:szCs w:val="28"/>
          <w:lang w:val="ru-RU" w:bidi="ar-S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розпорядником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коштів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виступає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</w:rPr>
        <w:t xml:space="preserve"> рада.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Основні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завдання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заходи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програми</w:t>
      </w:r>
      <w:r/>
    </w:p>
    <w:p>
      <w:pPr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Пріоритетними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завданнями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яких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спрямована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є:</w:t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br w:type="page"/>
      </w:r>
      <w:r/>
    </w:p>
    <w:p>
      <w:pPr>
        <w:jc w:val="center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Заходи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озвитк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Макошинське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20-2022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»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0"/>
        <w:gridCol w:w="675"/>
        <w:gridCol w:w="1310"/>
        <w:gridCol w:w="1276"/>
        <w:gridCol w:w="1134"/>
        <w:gridCol w:w="1134"/>
        <w:gridCol w:w="1134"/>
      </w:tblGrid>
      <w:tr>
        <w:trPr>
          <w:trHeight w:val="840"/>
        </w:trPr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sz w:val="18"/>
                <w:szCs w:val="28"/>
                <w:lang w:val="uk-UA"/>
              </w:rPr>
              <w:t xml:space="preserve">Зміст заходів</w:t>
            </w:r>
            <w:r>
              <w:rPr>
                <w:sz w:val="1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sz w:val="18"/>
                <w:szCs w:val="28"/>
                <w:lang w:val="uk-UA"/>
              </w:rPr>
              <w:t xml:space="preserve">(придбання)</w:t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  <w:t xml:space="preserve">Кількість</w:t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  <w:t xml:space="preserve">Орієнтовна ціна за 1 од., грн.</w:t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  <w:t xml:space="preserve">Орієнтовна сума, грн.</w:t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  <w:t xml:space="preserve">2020 р.</w:t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  <w:t xml:space="preserve">2021 р.</w:t>
            </w:r>
            <w:r>
              <w:rPr>
                <w:sz w:val="14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18"/>
                <w:szCs w:val="28"/>
                <w:lang w:val="uk-UA"/>
              </w:rPr>
              <w:t xml:space="preserve">2022 р.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Асенізаційна машина КО-503В-9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1 800 000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1 800 000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1800 000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Ноутбук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Принтер 3 в 1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Офісна мебель( столи, шафа)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1500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6000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6000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Трактор з навісним обладнанням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1 000 000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1 000 000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1000 000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Легковий службовий автомобіль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400 000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400 000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400 000</w:t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Заміна діючого обладнання на очисних спорудах на енергозберігаючі повітродувки марки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Robushi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EL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250 000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500 000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250 000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250 000</w:t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Станція управління свердловинним насосом на базі частотного перетворювача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64 400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193 200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64 400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64 400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64 400</w:t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2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Всього:</w:t>
            </w:r>
            <w:r/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13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8"/>
                <w:lang w:val="uk-UA"/>
              </w:rPr>
              <w:t xml:space="preserve">3913200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1 884 400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1 314 400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  <w:lang w:val="uk-UA"/>
              </w:rPr>
              <w:t xml:space="preserve">714 400</w:t>
            </w:r>
            <w:r>
              <w:rPr>
                <w:sz w:val="20"/>
              </w:rPr>
            </w:r>
          </w:p>
        </w:tc>
      </w:tr>
    </w:tbl>
    <w:p>
      <w:pPr>
        <w:pStyle w:val="272"/>
        <w:numPr>
          <w:ilvl w:val="0"/>
          <w:numId w:val="7"/>
        </w:numPr>
        <w:widowControl w:val="off"/>
        <w:tabs>
          <w:tab w:val="left" w:pos="284" w:leader="none"/>
          <w:tab w:val="left" w:pos="138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Очікувані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реалізації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</w:t>
      </w:r>
      <w:r>
        <w:rPr>
          <w:b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74"/>
          <w:rFonts w:eastAsia="Calibri"/>
          <w:color w:val="auto"/>
          <w:sz w:val="28"/>
          <w:szCs w:val="28"/>
        </w:rPr>
        <w:t xml:space="preserve">Виконання Програми дасть можливість забезпечити:</w:t>
      </w:r>
      <w:r/>
    </w:p>
    <w:p>
      <w:pPr>
        <w:numPr>
          <w:ilvl w:val="0"/>
          <w:numId w:val="5"/>
        </w:numPr>
        <w:jc w:val="both"/>
        <w:spacing w:lineRule="auto" w:line="240" w:after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74"/>
          <w:rFonts w:eastAsia="Calibri"/>
          <w:color w:val="auto"/>
          <w:sz w:val="28"/>
          <w:szCs w:val="28"/>
        </w:rPr>
        <w:t xml:space="preserve">поліпшення надання послуг з водопостачання та водовідвед</w:t>
      </w:r>
      <w:r>
        <w:rPr>
          <w:rStyle w:val="274"/>
          <w:rFonts w:eastAsia="Calibri"/>
          <w:color w:val="auto"/>
          <w:sz w:val="28"/>
          <w:szCs w:val="28"/>
        </w:rPr>
        <w:t xml:space="preserve">ення на території смт. Макошине </w:t>
      </w:r>
      <w:r>
        <w:rPr>
          <w:rStyle w:val="274"/>
          <w:rFonts w:eastAsia="Calibri"/>
          <w:color w:val="auto"/>
          <w:sz w:val="28"/>
          <w:szCs w:val="28"/>
        </w:rPr>
        <w:t xml:space="preserve">Менської</w:t>
      </w:r>
      <w:r>
        <w:rPr>
          <w:rStyle w:val="274"/>
          <w:rFonts w:eastAsia="Calibri"/>
          <w:color w:val="auto"/>
          <w:sz w:val="28"/>
          <w:szCs w:val="28"/>
        </w:rPr>
        <w:t xml:space="preserve"> об'єднаної </w:t>
      </w:r>
      <w:r>
        <w:rPr>
          <w:rStyle w:val="274"/>
          <w:rFonts w:eastAsia="Calibri"/>
          <w:color w:val="auto"/>
          <w:sz w:val="28"/>
          <w:szCs w:val="28"/>
        </w:rPr>
        <w:t xml:space="preserve">територіально</w:t>
      </w:r>
      <w:r>
        <w:rPr>
          <w:rStyle w:val="274"/>
          <w:rFonts w:eastAsia="Calibri"/>
          <w:color w:val="auto"/>
          <w:sz w:val="28"/>
          <w:szCs w:val="28"/>
          <w:lang w:bidi="ar-SA" w:eastAsia="en-US"/>
        </w:rPr>
        <w:t xml:space="preserve">ї </w:t>
      </w:r>
      <w:r>
        <w:rPr>
          <w:rStyle w:val="274"/>
          <w:rFonts w:eastAsia="Calibri"/>
          <w:color w:val="auto"/>
          <w:sz w:val="28"/>
          <w:szCs w:val="28"/>
        </w:rPr>
        <w:t xml:space="preserve">громади та створення </w:t>
      </w:r>
      <w:r>
        <w:rPr>
          <w:rStyle w:val="274"/>
          <w:rFonts w:eastAsia="Calibri"/>
          <w:color w:val="auto"/>
          <w:sz w:val="28"/>
          <w:szCs w:val="28"/>
        </w:rPr>
        <w:t xml:space="preserve">кр</w:t>
      </w:r>
      <w:r>
        <w:rPr>
          <w:rStyle w:val="274"/>
          <w:rFonts w:eastAsia="Calibri"/>
          <w:color w:val="auto"/>
          <w:sz w:val="28"/>
          <w:szCs w:val="28"/>
        </w:rPr>
        <w:t xml:space="preserve">ащих умов для життєдіяльності його</w:t>
      </w:r>
      <w:r>
        <w:rPr>
          <w:rStyle w:val="274"/>
          <w:rFonts w:eastAsia="Calibri"/>
          <w:color w:val="auto"/>
          <w:sz w:val="28"/>
          <w:szCs w:val="28"/>
        </w:rPr>
        <w:t xml:space="preserve"> мешканців;</w:t>
      </w:r>
      <w:r/>
    </w:p>
    <w:p>
      <w:pPr>
        <w:numPr>
          <w:ilvl w:val="0"/>
          <w:numId w:val="5"/>
        </w:numPr>
        <w:spacing w:lineRule="auto" w:line="240" w:after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274"/>
          <w:rFonts w:eastAsia="Calibri"/>
          <w:color w:val="auto"/>
          <w:sz w:val="28"/>
          <w:szCs w:val="28"/>
        </w:rPr>
        <w:t xml:space="preserve">впровадження сучасних технологій, спеціалізованого обладнання, п</w:t>
      </w:r>
      <w:r>
        <w:rPr>
          <w:rStyle w:val="274"/>
          <w:rFonts w:eastAsia="Calibri"/>
          <w:color w:val="auto"/>
          <w:sz w:val="28"/>
          <w:szCs w:val="28"/>
        </w:rPr>
        <w:t xml:space="preserve">ридбання техніки для комунального</w:t>
      </w:r>
      <w:r>
        <w:rPr>
          <w:rStyle w:val="274"/>
          <w:rFonts w:eastAsia="Calibri"/>
          <w:color w:val="auto"/>
          <w:sz w:val="28"/>
          <w:szCs w:val="28"/>
        </w:rPr>
        <w:t xml:space="preserve"> підприємств</w:t>
      </w:r>
      <w:r>
        <w:rPr>
          <w:rStyle w:val="274"/>
          <w:rFonts w:eastAsia="Calibri"/>
          <w:color w:val="auto"/>
          <w:sz w:val="28"/>
          <w:szCs w:val="28"/>
        </w:rPr>
        <w:t xml:space="preserve">а</w:t>
      </w:r>
      <w:r>
        <w:rPr>
          <w:rStyle w:val="274"/>
          <w:rFonts w:eastAsia="Calibri"/>
          <w:color w:val="auto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стале функціонування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збереження майна комунальної власності, яке знаходиться в господарському віданн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2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 w:val="false"/>
        </w:rPr>
        <w:br w:type="page"/>
      </w:r>
      <w:r>
        <w:rPr>
          <w:rFonts w:ascii="Times New Roman" w:hAnsi="Times New Roman"/>
          <w:bCs w:val="false"/>
          <w:lang w:eastAsia="ru-RU"/>
        </w:rPr>
        <w:t xml:space="preserve">Паспорт програми</w:t>
      </w:r>
      <w:r>
        <w:rPr>
          <w:rFonts w:ascii="Times New Roman" w:hAnsi="Times New Roman"/>
          <w:bCs w:val="false"/>
          <w:lang w:val="ru-RU" w:eastAsia="ru-RU"/>
        </w:rPr>
        <w:t xml:space="preserve"> </w:t>
      </w:r>
      <w:r>
        <w:rPr>
          <w:rFonts w:ascii="Times New Roman" w:hAnsi="Times New Roman"/>
          <w:bCs w:val="false"/>
          <w:lang w:eastAsia="ru-RU"/>
        </w:rPr>
        <w:t xml:space="preserve">розвитку комунальног</w:t>
      </w:r>
      <w:r>
        <w:rPr>
          <w:rFonts w:ascii="Times New Roman" w:hAnsi="Times New Roman"/>
          <w:bCs w:val="false"/>
          <w:lang w:eastAsia="ru-RU"/>
        </w:rPr>
        <w:t xml:space="preserve">о підприємства «Макошинське</w:t>
      </w:r>
      <w:r>
        <w:rPr>
          <w:rFonts w:ascii="Times New Roman" w:hAnsi="Times New Roman"/>
          <w:bCs w:val="false"/>
          <w:lang w:eastAsia="ru-RU"/>
        </w:rPr>
        <w:t xml:space="preserve">» Менської міської ради </w:t>
      </w:r>
      <w:r>
        <w:rPr>
          <w:rFonts w:ascii="Times New Roman" w:hAnsi="Times New Roman"/>
          <w:lang w:eastAsia="ru-RU"/>
        </w:rPr>
        <w:t xml:space="preserve">на 2020-2022 ро</w:t>
      </w:r>
      <w:r>
        <w:rPr>
          <w:rFonts w:ascii="Times New Roman" w:hAnsi="Times New Roman"/>
          <w:lang w:eastAsia="ru-RU"/>
        </w:rPr>
        <w:t xml:space="preserve">к</w:t>
      </w:r>
      <w:r>
        <w:rPr>
          <w:rFonts w:ascii="Times New Roman" w:hAnsi="Times New Roman"/>
          <w:lang w:eastAsia="ru-RU"/>
        </w:rPr>
        <w:t xml:space="preserve">и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4852" w:type="pct"/>
        <w:tblBorders>
          <w:left w:val="single" w:color="999999" w:sz="4" w:space="0"/>
          <w:top w:val="single" w:color="999999" w:sz="4" w:space="0"/>
          <w:right w:val="single" w:color="999999" w:sz="4" w:space="0"/>
          <w:bottom w:val="single" w:color="999999" w:sz="4" w:space="0"/>
          <w:insideV w:val="single" w:color="999999" w:sz="4" w:space="0"/>
          <w:insideH w:val="single" w:color="999999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386"/>
        <w:gridCol w:w="5262"/>
      </w:tblGrid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Ініціатор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розроблення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рада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Розробник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Відділ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архітектури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містобудування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житлово-комунального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господарства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ради</w:t>
            </w:r>
            <w:r/>
          </w:p>
        </w:tc>
      </w:tr>
      <w:tr>
        <w:trPr>
          <w:cantSplit/>
          <w:trHeight w:val="800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Співрозробник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КП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Макошинське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ради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Відповідальний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виконавець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КП «Макошинське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» </w:t>
            </w:r>
            <w:r/>
          </w:p>
        </w:tc>
      </w:tr>
      <w:tr>
        <w:trPr>
          <w:cantSplit/>
          <w:trHeight w:val="322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38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26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реалізації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20-2022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беруть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участь 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виконанні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об’єднаної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громади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Державний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бюджет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України</w:t>
            </w:r>
            <w:r/>
          </w:p>
        </w:tc>
      </w:tr>
      <w:tr>
        <w:trPr>
          <w:cantSplit/>
          <w:trHeight w:val="322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38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26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38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Загальний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фінансових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ресурсів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5262" w:type="dxa"/>
            <w:textDirection w:val="lrTb"/>
            <w:noWrap/>
          </w:tcPr>
          <w:p>
            <w:pPr>
              <w:jc w:val="both"/>
              <w:spacing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3 913 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 них на 2020 рік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1884400 грн., 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на 2021 рік 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1314400, 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на 2022 рік - 714400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color w:val="333333"/>
          <w:lang w:val="uk-UA" w:eastAsia="ru-RU"/>
        </w:rPr>
      </w:pPr>
      <w:r>
        <w:rPr>
          <w:rFonts w:ascii="Times New Roman" w:hAnsi="Times New Roman" w:cs="Times New Roman" w:eastAsia="Times New Roman"/>
          <w:color w:val="333333"/>
          <w:lang w:val="uk-UA" w:eastAsia="ru-RU"/>
        </w:rPr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Lohit Hindi">
    <w:panose1 w:val="020608030506050202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•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5"/>
      <w:numFmt w:val="decimal"/>
      <w:suff w:val="tab"/>
      <w:lvlText w:val="%1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58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8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8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8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8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8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6"/>
      <w:numFmt w:val="decimal"/>
      <w:suff w:val="tab"/>
      <w:lvlText w:val="%1."/>
      <w:lvlJc w:val="left"/>
      <w:pPr>
        <w:ind w:left="108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8"/>
      </w:pPr>
    </w:lvl>
    <w:lvl w:ilvl="2">
      <w:start w:val="1"/>
      <w:numFmt w:val="lowerRoman"/>
      <w:suff w:val="tab"/>
      <w:lvlText w:val="%3."/>
      <w:lvlJc w:val="right"/>
      <w:pPr>
        <w:ind w:left="2520" w:hanging="178"/>
      </w:pPr>
    </w:lvl>
    <w:lvl w:ilvl="3">
      <w:start w:val="1"/>
      <w:numFmt w:val="decimal"/>
      <w:suff w:val="tab"/>
      <w:lvlText w:val="%4."/>
      <w:lvlJc w:val="left"/>
      <w:pPr>
        <w:ind w:left="3240" w:hanging="358"/>
      </w:pPr>
    </w:lvl>
    <w:lvl w:ilvl="4">
      <w:start w:val="1"/>
      <w:numFmt w:val="lowerLetter"/>
      <w:suff w:val="tab"/>
      <w:lvlText w:val="%5."/>
      <w:lvlJc w:val="left"/>
      <w:pPr>
        <w:ind w:left="3960" w:hanging="358"/>
      </w:pPr>
    </w:lvl>
    <w:lvl w:ilvl="5">
      <w:start w:val="1"/>
      <w:numFmt w:val="lowerRoman"/>
      <w:suff w:val="tab"/>
      <w:lvlText w:val="%6."/>
      <w:lvlJc w:val="right"/>
      <w:pPr>
        <w:ind w:left="4680" w:hanging="178"/>
      </w:pPr>
    </w:lvl>
    <w:lvl w:ilvl="6">
      <w:start w:val="1"/>
      <w:numFmt w:val="decimal"/>
      <w:suff w:val="tab"/>
      <w:lvlText w:val="%7."/>
      <w:lvlJc w:val="left"/>
      <w:pPr>
        <w:ind w:left="5400" w:hanging="358"/>
      </w:pPr>
    </w:lvl>
    <w:lvl w:ilvl="7">
      <w:start w:val="1"/>
      <w:numFmt w:val="lowerLetter"/>
      <w:suff w:val="tab"/>
      <w:lvlText w:val="%8."/>
      <w:lvlJc w:val="left"/>
      <w:pPr>
        <w:ind w:left="6120" w:hanging="358"/>
      </w:pPr>
    </w:lvl>
    <w:lvl w:ilvl="8">
      <w:start w:val="1"/>
      <w:numFmt w:val="lowerRoman"/>
      <w:suff w:val="tab"/>
      <w:lvlText w:val="%9."/>
      <w:lvlJc w:val="right"/>
      <w:pPr>
        <w:ind w:left="6840" w:hanging="178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  <w:rPr>
        <w:rFonts w:hint="default"/>
        <w:b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7">
    <w:multiLevelType w:val="hybridMultilevel"/>
    <w:lvl w:ilvl="0">
      <w:start w:val="1"/>
      <w:numFmt w:val="decimal"/>
      <w:suff w:val="tab"/>
      <w:lvlText w:val="%1"/>
      <w:lvlJc w:val="left"/>
      <w:pPr>
        <w:ind w:left="108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8"/>
      </w:pPr>
    </w:lvl>
    <w:lvl w:ilvl="2">
      <w:start w:val="1"/>
      <w:numFmt w:val="lowerRoman"/>
      <w:suff w:val="tab"/>
      <w:lvlText w:val="%3."/>
      <w:lvlJc w:val="right"/>
      <w:pPr>
        <w:ind w:left="2520" w:hanging="178"/>
      </w:pPr>
    </w:lvl>
    <w:lvl w:ilvl="3">
      <w:start w:val="1"/>
      <w:numFmt w:val="decimal"/>
      <w:suff w:val="tab"/>
      <w:lvlText w:val="%4."/>
      <w:lvlJc w:val="left"/>
      <w:pPr>
        <w:ind w:left="3240" w:hanging="358"/>
      </w:pPr>
    </w:lvl>
    <w:lvl w:ilvl="4">
      <w:start w:val="1"/>
      <w:numFmt w:val="lowerLetter"/>
      <w:suff w:val="tab"/>
      <w:lvlText w:val="%5."/>
      <w:lvlJc w:val="left"/>
      <w:pPr>
        <w:ind w:left="3960" w:hanging="358"/>
      </w:pPr>
    </w:lvl>
    <w:lvl w:ilvl="5">
      <w:start w:val="1"/>
      <w:numFmt w:val="lowerRoman"/>
      <w:suff w:val="tab"/>
      <w:lvlText w:val="%6."/>
      <w:lvlJc w:val="right"/>
      <w:pPr>
        <w:ind w:left="4680" w:hanging="178"/>
      </w:pPr>
    </w:lvl>
    <w:lvl w:ilvl="6">
      <w:start w:val="1"/>
      <w:numFmt w:val="decimal"/>
      <w:suff w:val="tab"/>
      <w:lvlText w:val="%7."/>
      <w:lvlJc w:val="left"/>
      <w:pPr>
        <w:ind w:left="5400" w:hanging="358"/>
      </w:pPr>
    </w:lvl>
    <w:lvl w:ilvl="7">
      <w:start w:val="1"/>
      <w:numFmt w:val="lowerLetter"/>
      <w:suff w:val="tab"/>
      <w:lvlText w:val="%8."/>
      <w:lvlJc w:val="left"/>
      <w:pPr>
        <w:ind w:left="6120" w:hanging="358"/>
      </w:pPr>
    </w:lvl>
    <w:lvl w:ilvl="8">
      <w:start w:val="1"/>
      <w:numFmt w:val="lowerRoman"/>
      <w:suff w:val="tab"/>
      <w:lvlText w:val="%9."/>
      <w:lvlJc w:val="right"/>
      <w:pPr>
        <w:ind w:left="6840" w:hanging="178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9">
    <w:multiLevelType w:val="hybridMultilevel"/>
    <w:lvl w:ilvl="0">
      <w:start w:val="8"/>
      <w:numFmt w:val="upperRoman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8"/>
      </w:pPr>
    </w:lvl>
    <w:lvl w:ilvl="1">
      <w:start w:val="1"/>
      <w:numFmt w:val="lowerLetter"/>
      <w:suff w:val="tab"/>
      <w:lvlText w:val="%2."/>
      <w:lvlJc w:val="left"/>
      <w:pPr>
        <w:ind w:left="1429" w:hanging="358"/>
      </w:pPr>
    </w:lvl>
    <w:lvl w:ilvl="2">
      <w:start w:val="1"/>
      <w:numFmt w:val="lowerRoman"/>
      <w:suff w:val="tab"/>
      <w:lvlText w:val="%3."/>
      <w:lvlJc w:val="right"/>
      <w:pPr>
        <w:ind w:left="2149" w:hanging="178"/>
      </w:pPr>
    </w:lvl>
    <w:lvl w:ilvl="3">
      <w:start w:val="1"/>
      <w:numFmt w:val="decimal"/>
      <w:suff w:val="tab"/>
      <w:lvlText w:val="%4."/>
      <w:lvlJc w:val="left"/>
      <w:pPr>
        <w:ind w:left="2869" w:hanging="358"/>
      </w:pPr>
    </w:lvl>
    <w:lvl w:ilvl="4">
      <w:start w:val="1"/>
      <w:numFmt w:val="lowerLetter"/>
      <w:suff w:val="tab"/>
      <w:lvlText w:val="%5."/>
      <w:lvlJc w:val="left"/>
      <w:pPr>
        <w:ind w:left="3589" w:hanging="358"/>
      </w:pPr>
    </w:lvl>
    <w:lvl w:ilvl="5">
      <w:start w:val="1"/>
      <w:numFmt w:val="lowerRoman"/>
      <w:suff w:val="tab"/>
      <w:lvlText w:val="%6."/>
      <w:lvlJc w:val="right"/>
      <w:pPr>
        <w:ind w:left="4309" w:hanging="178"/>
      </w:pPr>
    </w:lvl>
    <w:lvl w:ilvl="6">
      <w:start w:val="1"/>
      <w:numFmt w:val="decimal"/>
      <w:suff w:val="tab"/>
      <w:lvlText w:val="%7."/>
      <w:lvlJc w:val="left"/>
      <w:pPr>
        <w:ind w:left="5029" w:hanging="358"/>
      </w:pPr>
    </w:lvl>
    <w:lvl w:ilvl="7">
      <w:start w:val="1"/>
      <w:numFmt w:val="lowerLetter"/>
      <w:suff w:val="tab"/>
      <w:lvlText w:val="%8."/>
      <w:lvlJc w:val="left"/>
      <w:pPr>
        <w:ind w:left="5749" w:hanging="358"/>
      </w:pPr>
    </w:lvl>
    <w:lvl w:ilvl="8">
      <w:start w:val="1"/>
      <w:numFmt w:val="lowerRoman"/>
      <w:suff w:val="tab"/>
      <w:lvlText w:val="%9."/>
      <w:lvlJc w:val="right"/>
      <w:pPr>
        <w:ind w:left="6469" w:hanging="178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00">
    <w:name w:val="Heading 1"/>
    <w:basedOn w:val="266"/>
    <w:next w:val="266"/>
    <w:link w:val="2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01">
    <w:name w:val="Heading 1 Char"/>
    <w:basedOn w:val="268"/>
    <w:link w:val="200"/>
    <w:uiPriority w:val="9"/>
    <w:rPr>
      <w:rFonts w:ascii="Arial" w:hAnsi="Arial" w:cs="Arial" w:eastAsia="Arial"/>
      <w:sz w:val="40"/>
      <w:szCs w:val="40"/>
    </w:rPr>
  </w:style>
  <w:style w:type="paragraph" w:styleId="202">
    <w:name w:val="Heading 2"/>
    <w:basedOn w:val="266"/>
    <w:next w:val="266"/>
    <w:link w:val="2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03">
    <w:name w:val="Heading 2 Char"/>
    <w:basedOn w:val="268"/>
    <w:link w:val="202"/>
    <w:uiPriority w:val="9"/>
    <w:rPr>
      <w:rFonts w:ascii="Arial" w:hAnsi="Arial" w:cs="Arial" w:eastAsia="Arial"/>
      <w:sz w:val="34"/>
    </w:rPr>
  </w:style>
  <w:style w:type="paragraph" w:styleId="204">
    <w:name w:val="Heading 3"/>
    <w:basedOn w:val="266"/>
    <w:next w:val="266"/>
    <w:link w:val="2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05">
    <w:name w:val="Heading 3 Char"/>
    <w:basedOn w:val="268"/>
    <w:link w:val="204"/>
    <w:uiPriority w:val="9"/>
    <w:rPr>
      <w:rFonts w:ascii="Arial" w:hAnsi="Arial" w:cs="Arial" w:eastAsia="Arial"/>
      <w:sz w:val="30"/>
      <w:szCs w:val="30"/>
    </w:rPr>
  </w:style>
  <w:style w:type="character" w:styleId="206">
    <w:name w:val="Heading 4 Char"/>
    <w:basedOn w:val="268"/>
    <w:link w:val="267"/>
    <w:uiPriority w:val="9"/>
    <w:rPr>
      <w:rFonts w:ascii="Arial" w:hAnsi="Arial" w:cs="Arial" w:eastAsia="Arial"/>
      <w:b/>
      <w:bCs/>
      <w:sz w:val="26"/>
      <w:szCs w:val="26"/>
    </w:rPr>
  </w:style>
  <w:style w:type="paragraph" w:styleId="207">
    <w:name w:val="Heading 5"/>
    <w:basedOn w:val="266"/>
    <w:next w:val="266"/>
    <w:link w:val="2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8">
    <w:name w:val="Heading 5 Char"/>
    <w:basedOn w:val="268"/>
    <w:link w:val="207"/>
    <w:uiPriority w:val="9"/>
    <w:rPr>
      <w:rFonts w:ascii="Arial" w:hAnsi="Arial" w:cs="Arial" w:eastAsia="Arial"/>
      <w:b/>
      <w:bCs/>
      <w:sz w:val="24"/>
      <w:szCs w:val="24"/>
    </w:rPr>
  </w:style>
  <w:style w:type="paragraph" w:styleId="209">
    <w:name w:val="Heading 6"/>
    <w:basedOn w:val="266"/>
    <w:next w:val="266"/>
    <w:link w:val="2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10">
    <w:name w:val="Heading 6 Char"/>
    <w:basedOn w:val="268"/>
    <w:link w:val="209"/>
    <w:uiPriority w:val="9"/>
    <w:rPr>
      <w:rFonts w:ascii="Arial" w:hAnsi="Arial" w:cs="Arial" w:eastAsia="Arial"/>
      <w:b/>
      <w:bCs/>
      <w:sz w:val="22"/>
      <w:szCs w:val="22"/>
    </w:rPr>
  </w:style>
  <w:style w:type="paragraph" w:styleId="211">
    <w:name w:val="Heading 7"/>
    <w:basedOn w:val="266"/>
    <w:next w:val="266"/>
    <w:link w:val="2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12">
    <w:name w:val="Heading 7 Char"/>
    <w:basedOn w:val="268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13">
    <w:name w:val="Heading 8"/>
    <w:basedOn w:val="266"/>
    <w:next w:val="266"/>
    <w:link w:val="2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14">
    <w:name w:val="Heading 8 Char"/>
    <w:basedOn w:val="268"/>
    <w:link w:val="213"/>
    <w:uiPriority w:val="9"/>
    <w:rPr>
      <w:rFonts w:ascii="Arial" w:hAnsi="Arial" w:cs="Arial" w:eastAsia="Arial"/>
      <w:i/>
      <w:iCs/>
      <w:sz w:val="22"/>
      <w:szCs w:val="22"/>
    </w:rPr>
  </w:style>
  <w:style w:type="paragraph" w:styleId="215">
    <w:name w:val="Heading 9"/>
    <w:basedOn w:val="266"/>
    <w:next w:val="266"/>
    <w:link w:val="2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6">
    <w:name w:val="Heading 9 Char"/>
    <w:basedOn w:val="268"/>
    <w:link w:val="215"/>
    <w:uiPriority w:val="9"/>
    <w:rPr>
      <w:rFonts w:ascii="Arial" w:hAnsi="Arial" w:cs="Arial" w:eastAsia="Arial"/>
      <w:i/>
      <w:iCs/>
      <w:sz w:val="21"/>
      <w:szCs w:val="21"/>
    </w:rPr>
  </w:style>
  <w:style w:type="paragraph" w:styleId="217">
    <w:name w:val="No Spacing"/>
    <w:qFormat/>
    <w:uiPriority w:val="1"/>
    <w:pPr>
      <w:spacing w:lineRule="auto" w:line="240" w:after="0" w:before="0"/>
    </w:pPr>
  </w:style>
  <w:style w:type="paragraph" w:styleId="218">
    <w:name w:val="Title"/>
    <w:basedOn w:val="266"/>
    <w:next w:val="266"/>
    <w:link w:val="2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9">
    <w:name w:val="Title Char"/>
    <w:basedOn w:val="268"/>
    <w:link w:val="218"/>
    <w:uiPriority w:val="10"/>
    <w:rPr>
      <w:sz w:val="48"/>
      <w:szCs w:val="48"/>
    </w:rPr>
  </w:style>
  <w:style w:type="paragraph" w:styleId="220">
    <w:name w:val="Subtitle"/>
    <w:basedOn w:val="266"/>
    <w:next w:val="266"/>
    <w:link w:val="221"/>
    <w:qFormat/>
    <w:uiPriority w:val="11"/>
    <w:rPr>
      <w:sz w:val="24"/>
      <w:szCs w:val="24"/>
    </w:rPr>
    <w:pPr>
      <w:spacing w:after="200" w:before="200"/>
    </w:pPr>
  </w:style>
  <w:style w:type="character" w:styleId="221">
    <w:name w:val="Subtitle Char"/>
    <w:basedOn w:val="268"/>
    <w:link w:val="220"/>
    <w:uiPriority w:val="11"/>
    <w:rPr>
      <w:sz w:val="24"/>
      <w:szCs w:val="24"/>
    </w:rPr>
  </w:style>
  <w:style w:type="paragraph" w:styleId="222">
    <w:name w:val="Quote"/>
    <w:basedOn w:val="266"/>
    <w:next w:val="266"/>
    <w:link w:val="223"/>
    <w:qFormat/>
    <w:uiPriority w:val="29"/>
    <w:rPr>
      <w:i/>
    </w:rPr>
    <w:pPr>
      <w:ind w:left="720" w:right="720"/>
    </w:pPr>
  </w:style>
  <w:style w:type="character" w:styleId="223">
    <w:name w:val="Quote Char"/>
    <w:link w:val="222"/>
    <w:uiPriority w:val="29"/>
    <w:rPr>
      <w:i/>
    </w:rPr>
  </w:style>
  <w:style w:type="paragraph" w:styleId="224">
    <w:name w:val="Intense Quote"/>
    <w:basedOn w:val="266"/>
    <w:next w:val="266"/>
    <w:link w:val="2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5">
    <w:name w:val="Intense Quote Char"/>
    <w:link w:val="224"/>
    <w:uiPriority w:val="30"/>
    <w:rPr>
      <w:i/>
    </w:rPr>
  </w:style>
  <w:style w:type="paragraph" w:styleId="226">
    <w:name w:val="Header"/>
    <w:basedOn w:val="266"/>
    <w:link w:val="2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7">
    <w:name w:val="Header Char"/>
    <w:basedOn w:val="268"/>
    <w:link w:val="226"/>
    <w:uiPriority w:val="99"/>
  </w:style>
  <w:style w:type="paragraph" w:styleId="228">
    <w:name w:val="Footer"/>
    <w:basedOn w:val="266"/>
    <w:link w:val="2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9">
    <w:name w:val="Footer Char"/>
    <w:basedOn w:val="268"/>
    <w:link w:val="228"/>
    <w:uiPriority w:val="99"/>
  </w:style>
  <w:style w:type="table" w:styleId="230">
    <w:name w:val="Table Grid"/>
    <w:basedOn w:val="2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1">
    <w:name w:val="Lined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>
    <w:name w:val="Lined - Accent 1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>
    <w:name w:val="Lined - Accent 2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>
    <w:name w:val="Lined - Accent 3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5">
    <w:name w:val="Lined - Accent 4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>
    <w:name w:val="Lined - Accent 5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>
    <w:name w:val="Lined - Accent 6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8">
    <w:name w:val="Bordered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9">
    <w:name w:val="Bordered - Accent 1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0">
    <w:name w:val="Bordered - Accent 2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1">
    <w:name w:val="Bordered - Accent 3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2">
    <w:name w:val="Bordered - Accent 4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3">
    <w:name w:val="Bordered - Accent 5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4">
    <w:name w:val="Bordered - Accent 6"/>
    <w:basedOn w:val="2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5">
    <w:name w:val="Bordered &amp; Lined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6">
    <w:name w:val="Bordered &amp; Lined - Accent 1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7">
    <w:name w:val="Bordered &amp; Lined - Accent 2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8">
    <w:name w:val="Bordered &amp; Lined - Accent 3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9">
    <w:name w:val="Bordered &amp; Lined - Accent 4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0">
    <w:name w:val="Bordered &amp; Lined - Accent 5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1">
    <w:name w:val="Bordered &amp; Lined - Accent 6"/>
    <w:basedOn w:val="2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2">
    <w:name w:val="Hyperlink"/>
    <w:uiPriority w:val="99"/>
    <w:unhideWhenUsed/>
    <w:rPr>
      <w:color w:val="0000FF" w:themeColor="hyperlink"/>
      <w:u w:val="single"/>
    </w:rPr>
  </w:style>
  <w:style w:type="paragraph" w:styleId="253">
    <w:name w:val="footnote text"/>
    <w:basedOn w:val="266"/>
    <w:link w:val="254"/>
    <w:uiPriority w:val="99"/>
    <w:semiHidden/>
    <w:unhideWhenUsed/>
    <w:rPr>
      <w:sz w:val="18"/>
    </w:rPr>
    <w:pPr>
      <w:spacing w:lineRule="auto" w:line="240" w:after="40"/>
    </w:pPr>
  </w:style>
  <w:style w:type="character" w:styleId="254">
    <w:name w:val="Footnote Text Char"/>
    <w:link w:val="253"/>
    <w:uiPriority w:val="99"/>
    <w:rPr>
      <w:sz w:val="18"/>
    </w:rPr>
  </w:style>
  <w:style w:type="character" w:styleId="255">
    <w:name w:val="footnote reference"/>
    <w:basedOn w:val="268"/>
    <w:uiPriority w:val="99"/>
    <w:unhideWhenUsed/>
    <w:rPr>
      <w:vertAlign w:val="superscript"/>
    </w:rPr>
  </w:style>
  <w:style w:type="paragraph" w:styleId="256">
    <w:name w:val="toc 1"/>
    <w:basedOn w:val="266"/>
    <w:next w:val="266"/>
    <w:uiPriority w:val="39"/>
    <w:unhideWhenUsed/>
    <w:pPr>
      <w:ind w:left="0" w:right="0" w:hanging="0"/>
      <w:spacing w:after="57"/>
    </w:pPr>
  </w:style>
  <w:style w:type="paragraph" w:styleId="257">
    <w:name w:val="toc 2"/>
    <w:basedOn w:val="266"/>
    <w:next w:val="266"/>
    <w:uiPriority w:val="39"/>
    <w:unhideWhenUsed/>
    <w:pPr>
      <w:ind w:left="283" w:right="0" w:hanging="0"/>
      <w:spacing w:after="57"/>
    </w:pPr>
  </w:style>
  <w:style w:type="paragraph" w:styleId="258">
    <w:name w:val="toc 3"/>
    <w:basedOn w:val="266"/>
    <w:next w:val="266"/>
    <w:uiPriority w:val="39"/>
    <w:unhideWhenUsed/>
    <w:pPr>
      <w:ind w:left="567" w:right="0" w:hanging="0"/>
      <w:spacing w:after="57"/>
    </w:pPr>
  </w:style>
  <w:style w:type="paragraph" w:styleId="259">
    <w:name w:val="toc 4"/>
    <w:basedOn w:val="266"/>
    <w:next w:val="266"/>
    <w:uiPriority w:val="39"/>
    <w:unhideWhenUsed/>
    <w:pPr>
      <w:ind w:left="850" w:right="0" w:hanging="0"/>
      <w:spacing w:after="57"/>
    </w:pPr>
  </w:style>
  <w:style w:type="paragraph" w:styleId="260">
    <w:name w:val="toc 5"/>
    <w:basedOn w:val="266"/>
    <w:next w:val="266"/>
    <w:uiPriority w:val="39"/>
    <w:unhideWhenUsed/>
    <w:pPr>
      <w:ind w:left="1134" w:right="0" w:hanging="0"/>
      <w:spacing w:after="57"/>
    </w:pPr>
  </w:style>
  <w:style w:type="paragraph" w:styleId="261">
    <w:name w:val="toc 6"/>
    <w:basedOn w:val="266"/>
    <w:next w:val="266"/>
    <w:uiPriority w:val="39"/>
    <w:unhideWhenUsed/>
    <w:pPr>
      <w:ind w:left="1417" w:right="0" w:hanging="0"/>
      <w:spacing w:after="57"/>
    </w:pPr>
  </w:style>
  <w:style w:type="paragraph" w:styleId="262">
    <w:name w:val="toc 7"/>
    <w:basedOn w:val="266"/>
    <w:next w:val="266"/>
    <w:uiPriority w:val="39"/>
    <w:unhideWhenUsed/>
    <w:pPr>
      <w:ind w:left="1701" w:right="0" w:hanging="0"/>
      <w:spacing w:after="57"/>
    </w:pPr>
  </w:style>
  <w:style w:type="paragraph" w:styleId="263">
    <w:name w:val="toc 8"/>
    <w:basedOn w:val="266"/>
    <w:next w:val="266"/>
    <w:uiPriority w:val="39"/>
    <w:unhideWhenUsed/>
    <w:pPr>
      <w:ind w:left="1984" w:right="0" w:hanging="0"/>
      <w:spacing w:after="57"/>
    </w:pPr>
  </w:style>
  <w:style w:type="paragraph" w:styleId="264">
    <w:name w:val="toc 9"/>
    <w:basedOn w:val="266"/>
    <w:next w:val="266"/>
    <w:uiPriority w:val="39"/>
    <w:unhideWhenUsed/>
    <w:pPr>
      <w:ind w:left="2268" w:right="0" w:hanging="0"/>
      <w:spacing w:after="57"/>
    </w:pPr>
  </w:style>
  <w:style w:type="paragraph" w:styleId="265">
    <w:name w:val="TOC Heading"/>
    <w:uiPriority w:val="39"/>
    <w:unhideWhenUsed/>
  </w:style>
  <w:style w:type="paragraph" w:styleId="266" w:default="1">
    <w:name w:val="Normal"/>
    <w:qFormat/>
  </w:style>
  <w:style w:type="paragraph" w:styleId="267">
    <w:name w:val="Heading 4"/>
    <w:basedOn w:val="266"/>
    <w:next w:val="266"/>
    <w:link w:val="273"/>
    <w:qFormat/>
    <w:unhideWhenUsed/>
    <w:rPr>
      <w:rFonts w:ascii="Calibri" w:hAnsi="Calibri" w:cs="Times New Roman" w:eastAsia="Times New Roman"/>
      <w:b/>
      <w:bCs/>
      <w:sz w:val="28"/>
      <w:szCs w:val="28"/>
      <w:lang w:val="uk-UA"/>
    </w:rPr>
    <w:pPr>
      <w:keepNext/>
      <w:spacing w:lineRule="auto" w:line="259" w:after="60" w:before="240"/>
      <w:outlineLvl w:val="3"/>
    </w:pPr>
  </w:style>
  <w:style w:type="character" w:styleId="268" w:default="1">
    <w:name w:val="Default Paragraph Font"/>
    <w:uiPriority w:val="1"/>
    <w:semiHidden/>
    <w:unhideWhenUsed/>
  </w:style>
  <w:style w:type="table" w:styleId="2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70" w:default="1">
    <w:name w:val="No List"/>
    <w:uiPriority w:val="99"/>
    <w:semiHidden/>
    <w:unhideWhenUsed/>
  </w:style>
  <w:style w:type="paragraph" w:styleId="271">
    <w:name w:val="Normal (Web)"/>
    <w:basedOn w:val="26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72">
    <w:name w:val="List Paragraph"/>
    <w:basedOn w:val="266"/>
    <w:qFormat/>
    <w:uiPriority w:val="34"/>
    <w:rPr>
      <w:rFonts w:ascii="Times New Roman" w:hAnsi="Times New Roman" w:cs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character" w:styleId="273" w:customStyle="1">
    <w:name w:val="Заголовок 4 Знак"/>
    <w:basedOn w:val="268"/>
    <w:link w:val="267"/>
    <w:rPr>
      <w:rFonts w:ascii="Calibri" w:hAnsi="Calibri" w:cs="Times New Roman" w:eastAsia="Times New Roman"/>
      <w:b/>
      <w:bCs/>
      <w:sz w:val="28"/>
      <w:szCs w:val="28"/>
      <w:lang w:val="uk-UA"/>
    </w:rPr>
  </w:style>
  <w:style w:type="character" w:styleId="274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character" w:styleId="275" w:customStyle="1">
    <w:name w:val="Заголовок №2 + 12 pt;Полужирный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paragraph" w:styleId="276">
    <w:name w:val="Balloon Text"/>
    <w:basedOn w:val="266"/>
    <w:link w:val="2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77" w:customStyle="1">
    <w:name w:val="Текст выноски Знак"/>
    <w:basedOn w:val="268"/>
    <w:link w:val="276"/>
    <w:uiPriority w:val="99"/>
    <w:semiHidden/>
    <w:rPr>
      <w:rFonts w:ascii="Tahoma" w:hAnsi="Tahoma" w:cs="Tahoma"/>
      <w:sz w:val="16"/>
      <w:szCs w:val="16"/>
    </w:rPr>
  </w:style>
  <w:style w:type="paragraph" w:styleId="278">
    <w:name w:val="Body Text"/>
    <w:basedOn w:val="266"/>
    <w:link w:val="279"/>
    <w:rPr>
      <w:rFonts w:ascii="Times New Roman" w:hAnsi="Times New Roman" w:cs="Times New Roman" w:eastAsia="Times New Roman"/>
      <w:sz w:val="28"/>
      <w:szCs w:val="24"/>
      <w:lang w:eastAsia="ar-SA"/>
    </w:rPr>
    <w:pPr>
      <w:ind w:firstLine="709"/>
      <w:jc w:val="both"/>
      <w:spacing w:lineRule="auto" w:line="240" w:after="120"/>
    </w:pPr>
  </w:style>
  <w:style w:type="character" w:styleId="279" w:customStyle="1">
    <w:name w:val="Основной текст Знак"/>
    <w:basedOn w:val="268"/>
    <w:link w:val="278"/>
    <w:rPr>
      <w:rFonts w:ascii="Times New Roman" w:hAnsi="Times New Roman" w:cs="Times New Roman" w:eastAsia="Times New Roman"/>
      <w:sz w:val="28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