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52472"/>
                <wp:effectExtent l="19047" t="0" r="9522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9.2pt;" strokeweight="0.75pt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Lohit Hindi" w:eastAsia="Droid Sans"/>
          <w:b/>
          <w:sz w:val="28"/>
          <w:szCs w:val="28"/>
          <w:lang w:val="ru-RU" w:bidi="hi-IN" w:eastAsia="hi-IN"/>
        </w:rPr>
      </w:pPr>
      <w:r>
        <w:rPr>
          <w:rFonts w:ascii="Times New Roman" w:hAnsi="Times New Roman" w:cs="Lohit Hindi" w:eastAsia="Droid Sans"/>
          <w:sz w:val="28"/>
          <w:szCs w:val="28"/>
          <w:lang w:val="ru-RU" w:bidi="hi-IN" w:eastAsia="hi-IN"/>
        </w:rPr>
        <w:t xml:space="preserve">УКРАЇНА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Lohit Hindi" w:eastAsia="Droid Sans"/>
          <w:b/>
          <w:sz w:val="28"/>
          <w:szCs w:val="28"/>
          <w:lang w:val="ru-RU" w:bidi="hi-IN" w:eastAsia="hi-IN"/>
        </w:rPr>
      </w:pPr>
      <w:r>
        <w:rPr>
          <w:rFonts w:ascii="Times New Roman" w:hAnsi="Times New Roman" w:cs="Lohit Hindi" w:eastAsia="Droid Sans"/>
          <w:b/>
          <w:sz w:val="28"/>
          <w:szCs w:val="28"/>
          <w:lang w:val="ru-RU"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Lohit Hindi" w:eastAsia="Droid Sans"/>
          <w:b/>
          <w:sz w:val="28"/>
          <w:szCs w:val="28"/>
          <w:lang w:val="ru-RU" w:bidi="hi-IN" w:eastAsia="hi-IN"/>
        </w:rPr>
      </w:pPr>
      <w:r>
        <w:rPr>
          <w:rFonts w:ascii="Times New Roman" w:hAnsi="Times New Roman" w:cs="Lohit Hindi" w:eastAsia="Droid Sans"/>
          <w:b/>
          <w:sz w:val="28"/>
          <w:szCs w:val="28"/>
          <w:lang w:val="ru-RU" w:bidi="hi-IN" w:eastAsia="hi-IN"/>
        </w:rPr>
        <w:t xml:space="preserve">Менського району Чернігівської області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Lohit Hindi" w:eastAsia="Droid Sans"/>
          <w:sz w:val="28"/>
          <w:szCs w:val="28"/>
          <w:lang w:val="ru-RU" w:bidi="hi-IN" w:eastAsia="hi-IN"/>
        </w:rPr>
      </w:pPr>
      <w:r>
        <w:rPr>
          <w:rFonts w:ascii="Times New Roman" w:hAnsi="Times New Roman" w:cs="Lohit Hindi" w:eastAsia="Droid Sans"/>
          <w:b/>
          <w:sz w:val="28"/>
          <w:szCs w:val="28"/>
          <w:lang w:val="ru-RU" w:bidi="hi-IN" w:eastAsia="hi-IN"/>
        </w:rPr>
        <w:t xml:space="preserve">(</w:t>
      </w:r>
      <w:r>
        <w:rPr>
          <w:rFonts w:ascii="Times New Roman" w:hAnsi="Times New Roman" w:cs="Lohit Hindi" w:eastAsia="Droid Sans"/>
          <w:b/>
          <w:sz w:val="28"/>
          <w:szCs w:val="28"/>
          <w:lang w:val="ru-RU" w:bidi="hi-IN" w:eastAsia="hi-IN"/>
        </w:rPr>
        <w:t xml:space="preserve">тридцять шоста</w:t>
      </w:r>
      <w:r>
        <w:rPr>
          <w:rFonts w:ascii="Times New Roman" w:hAnsi="Times New Roman" w:cs="Lohit Hindi" w:eastAsia="Droid Sans"/>
          <w:b/>
          <w:sz w:val="28"/>
          <w:szCs w:val="28"/>
          <w:lang w:val="ru-RU" w:bidi="hi-IN" w:eastAsia="hi-IN"/>
        </w:rPr>
        <w:t xml:space="preserve"> сесія сьомого скликання)</w:t>
      </w:r>
      <w:r/>
    </w:p>
    <w:p>
      <w:pPr>
        <w:ind w:left="15" w:hanging="14"/>
        <w:jc w:val="center"/>
        <w:spacing w:lineRule="auto" w:line="240" w:after="0"/>
        <w:widowControl w:val="off"/>
        <w:rPr>
          <w:rFonts w:ascii="Times New Roman" w:hAnsi="Times New Roman" w:cs="Lohit Hindi" w:eastAsia="Droid Sans"/>
          <w:sz w:val="28"/>
          <w:szCs w:val="28"/>
          <w:lang w:val="ru-RU" w:bidi="hi-IN" w:eastAsia="hi-IN"/>
        </w:rPr>
      </w:pPr>
      <w:r>
        <w:rPr>
          <w:rFonts w:ascii="Times New Roman" w:hAnsi="Times New Roman" w:cs="Lohit Hindi" w:eastAsia="Droid Sans"/>
          <w:b/>
          <w:bCs/>
          <w:spacing w:val="60"/>
          <w:sz w:val="28"/>
          <w:szCs w:val="28"/>
          <w:lang w:val="ru-RU" w:bidi="hi-IN" w:eastAsia="hi-IN"/>
        </w:rPr>
        <w:t xml:space="preserve">ПРОЕКТ </w:t>
      </w:r>
      <w:r>
        <w:rPr>
          <w:rFonts w:ascii="Times New Roman" w:hAnsi="Times New Roman" w:cs="Lohit Hindi" w:eastAsia="Droid Sans"/>
          <w:b/>
          <w:bCs/>
          <w:spacing w:val="60"/>
          <w:sz w:val="28"/>
          <w:szCs w:val="28"/>
          <w:lang w:val="ru-RU" w:bidi="hi-IN" w:eastAsia="hi-IN"/>
        </w:rPr>
        <w:t xml:space="preserve">РІШЕННЯ</w:t>
      </w:r>
      <w:r/>
    </w:p>
    <w:p>
      <w:pPr>
        <w:spacing w:lineRule="auto" w:line="240" w:after="0"/>
        <w:widowControl w:val="off"/>
        <w:tabs>
          <w:tab w:val="left" w:pos="4536" w:leader="none"/>
        </w:tabs>
        <w:rPr>
          <w:rFonts w:ascii="Times New Roman" w:hAnsi="Times New Roman" w:cs="Lohit Hindi" w:eastAsia="Droid Sans"/>
          <w:b/>
          <w:sz w:val="28"/>
          <w:szCs w:val="28"/>
          <w:lang w:val="ru-RU" w:bidi="hi-IN" w:eastAsia="hi-IN"/>
        </w:rPr>
      </w:pPr>
      <w:r>
        <w:rPr>
          <w:rFonts w:ascii="Times New Roman" w:hAnsi="Times New Roman" w:cs="Lohit Hindi" w:eastAsia="Droid Sans"/>
          <w:sz w:val="28"/>
          <w:szCs w:val="28"/>
          <w:lang w:val="ru-RU" w:bidi="hi-IN" w:eastAsia="hi-IN"/>
        </w:rPr>
        <w:t xml:space="preserve">25 грудня 2019</w:t>
      </w:r>
      <w:r>
        <w:rPr>
          <w:rFonts w:ascii="Times New Roman" w:hAnsi="Times New Roman" w:cs="Lohit Hindi" w:eastAsia="Droid Sans"/>
          <w:sz w:val="28"/>
          <w:szCs w:val="28"/>
          <w:lang w:val="ru-RU" w:bidi="hi-IN" w:eastAsia="hi-IN"/>
        </w:rPr>
        <w:t xml:space="preserve"> року</w:t>
      </w:r>
      <w:r>
        <w:rPr>
          <w:rFonts w:ascii="Times New Roman" w:hAnsi="Times New Roman" w:cs="Lohit Hindi" w:eastAsia="Droid Sans"/>
          <w:sz w:val="28"/>
          <w:szCs w:val="28"/>
          <w:lang w:val="ru-RU" w:bidi="hi-IN" w:eastAsia="hi-IN"/>
        </w:rPr>
        <w:tab/>
        <w:t xml:space="preserve">№</w:t>
      </w:r>
      <w:r>
        <w:rPr>
          <w:rFonts w:ascii="Times New Roman" w:hAnsi="Times New Roman" w:cs="Lohit Hindi" w:eastAsia="Droid Sans"/>
          <w:sz w:val="28"/>
          <w:szCs w:val="28"/>
          <w:lang w:val="ru-RU" w:bidi="hi-IN" w:eastAsia="hi-IN"/>
        </w:rPr>
        <w:t xml:space="preserve">692</w:t>
      </w:r>
      <w:r/>
    </w:p>
    <w:p>
      <w:pPr>
        <w:ind w:right="5103"/>
        <w:jc w:val="both"/>
        <w:spacing w:lineRule="auto" w:line="240" w:after="60" w:befor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затвердження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 Програми розвитку міжнародного співробітництва та партнерства Менської міської об’єднаної територіальної громади Чернігівської області на 2020-2022 роки</w:t>
      </w:r>
      <w:r/>
    </w:p>
    <w:p>
      <w:pPr>
        <w:ind w:right="4960"/>
        <w:spacing w:lineRule="auto" w:line="240" w:after="60" w:before="240"/>
        <w:rPr>
          <w:rFonts w:ascii="Times New Roman" w:hAnsi="Times New Roman" w:cs="Times New Roman" w:eastAsia="Times New Roman"/>
          <w:sz w:val="28"/>
        </w:rPr>
      </w:pPr>
      <w:r/>
      <w:bookmarkStart w:id="0" w:name="_GoBack"/>
      <w:r/>
      <w:bookmarkEnd w:id="0"/>
      <w:r/>
      <w:r/>
    </w:p>
    <w:p>
      <w:pPr>
        <w:ind w:firstLine="397"/>
        <w:jc w:val="both"/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Керуючись п.22 ч.1 ст.26 Закону України “Про місцеве самоврядування в Україні” та Законом України “Про державне прогнозування та розроблення програм економічного та соціального розвитку України”, з метою зміцнення зв’язків між містом Мена та містами-партнер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ами, вивчення досвіду діяльності органів місцевого самоврядування різних країн, розвитку співпраці у різних сферах життєдіяльності міст, враховуючи пропозиції постійної комісії з питань соціально-економічного розвитку, бюджету, соціального захисту та підпри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ємництва, Менська міська рада</w:t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ВИРІШИЛА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:</w:t>
      </w:r>
      <w:r/>
    </w:p>
    <w:p>
      <w:pPr>
        <w:numPr>
          <w:ilvl w:val="0"/>
          <w:numId w:val="7"/>
        </w:numPr>
        <w:ind w:firstLine="397"/>
        <w:jc w:val="both"/>
        <w:spacing w:lineRule="auto" w:line="240" w:after="0"/>
        <w:widowControl w:val="off"/>
        <w:rPr>
          <w:rFonts w:ascii="Times New Roman" w:hAnsi="Times New Roman" w:eastAsia="Times New Roman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Затвердити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Програм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у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розвитку міжнародного співробітництва та партнерства Менської міської об’єднаної територіальної громади Чернігівської області на 2020-2022 роки (далі – Програма) згідно з додатком до даного рішення (додається)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.</w:t>
      </w:r>
      <w:r/>
    </w:p>
    <w:p>
      <w:pPr>
        <w:numPr>
          <w:ilvl w:val="0"/>
          <w:numId w:val="7"/>
        </w:numPr>
        <w:ind w:firstLine="397"/>
        <w:jc w:val="both"/>
        <w:spacing w:lineRule="auto" w:line="240" w:after="0"/>
        <w:widowControl w:val="off"/>
        <w:rPr>
          <w:rFonts w:ascii="Times New Roman" w:hAnsi="Times New Roman" w:eastAsia="Times New Roman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Фінансування заходів передбачених Програмою здійснювати з врахуванням показників бюджету громади. </w:t>
      </w:r>
      <w:r/>
    </w:p>
    <w:p>
      <w:pPr>
        <w:numPr>
          <w:ilvl w:val="0"/>
          <w:numId w:val="7"/>
        </w:numPr>
        <w:ind w:firstLine="397"/>
        <w:jc w:val="both"/>
        <w:spacing w:lineRule="auto" w:line="240" w:after="0"/>
        <w:widowControl w:val="off"/>
        <w:rPr>
          <w:rFonts w:ascii="Times New Roman" w:hAnsi="Times New Roman" w:eastAsia="Times New Roman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Працівникам апарату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Менської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міської ради забезпечити виконання завдань, передбачених Програмою.</w:t>
      </w:r>
      <w:r/>
    </w:p>
    <w:p>
      <w:pPr>
        <w:numPr>
          <w:ilvl w:val="0"/>
          <w:numId w:val="7"/>
        </w:numPr>
        <w:ind w:firstLine="397"/>
        <w:jc w:val="both"/>
        <w:spacing w:lineRule="auto" w:line="240" w:after="0"/>
        <w:widowControl w:val="off"/>
        <w:rPr>
          <w:rFonts w:ascii="Times New Roman" w:hAnsi="Times New Roman" w:eastAsia="Times New Roman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Контроль за виконанням рішення покласти на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заступників міського голови з питань діяльності виконкому Менської міської ради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Міський голова                                                                       Г.А. Примаков</w:t>
      </w:r>
      <w:r/>
    </w:p>
    <w:p>
      <w:pPr>
        <w:spacing w:lineRule="auto" w:line="240"/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  <w:br w:type="page"/>
      </w:r>
      <w:r/>
    </w:p>
    <w:p>
      <w:pPr>
        <w:ind w:left="5954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</w:rPr>
        <w:t xml:space="preserve">Додаток до рішення 36 сесії Менської міської ради 7 скликання від 25.12.2019 </w:t>
      </w:r>
      <w:r>
        <w:rPr>
          <w:rFonts w:ascii="Times New Roman" w:hAnsi="Times New Roman" w:cs="Times New Roman" w:eastAsia="Times New Roman"/>
          <w:color w:val="000000"/>
        </w:rPr>
        <w:t xml:space="preserve">«Про затвердження </w:t>
      </w:r>
      <w:r>
        <w:rPr>
          <w:rFonts w:ascii="Times New Roman" w:hAnsi="Times New Roman" w:cs="Times New Roman" w:eastAsia="Times New Roman"/>
          <w:color w:val="000000"/>
        </w:rPr>
        <w:t xml:space="preserve">Програми розвитку міжнародного співробітництва та партнерства Менської міської об’єднаної територіальної громади Чернігівської області на 2020-2022 роки» №692</w:t>
      </w:r>
      <w:r/>
    </w:p>
    <w:p>
      <w:pPr>
        <w:jc w:val="right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Програма розвитку міжнародного співробітництва та партнерства Менської міської об’єднаної тери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торіальної громади Чернігівської області на 2020-2022 роки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Програма розвитку міжнародного співробітництва та партнерства Менської міської об’єднаної територіальної громади Чернігівської області на 2020-2022 роки (далі – Програма) розроблена відповідно до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Конституції України та Закону України „Про місцеве самоврядування в Україні” 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i/>
          <w:color w:val="000000"/>
          <w:sz w:val="28"/>
        </w:rPr>
        <w:t xml:space="preserve">Вступ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Малі міста займають особливе місце в історичному розвитку держави, в яких розвивались національна культура та духовність. Проте спад виробництва, економічна дестабілізація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суттєво послабили соціально-економічну та фінансову бази малих міст.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 метою налагодження взаємовигідних ділових контактів, а також розвитку зв’язків Менської міської об’єднаної територіальної громади (далі- громада) з містами, громадами та регіонами інши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х країн, для більш повного розкриття його економічного, науково-технічного та культурного потенціалу в контексті євроінтеграції держави, вважається за доцільне розвивати побратимські відносини Менської міської об’єднаної територіальної громади з іноземними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містами/громадами.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Менська міська рада здійснює зовнішні відносини в межах повноважень, передбачених Конституцією та законами України, відповідно зовнішньополітичного курсу та зовнішньоекономічної політики України.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i/>
          <w:color w:val="000000"/>
          <w:sz w:val="28"/>
        </w:rPr>
        <w:t xml:space="preserve">Визначення </w:t>
      </w:r>
      <w:r>
        <w:rPr>
          <w:rFonts w:ascii="Times New Roman" w:hAnsi="Times New Roman" w:cs="Times New Roman" w:eastAsia="Times New Roman"/>
          <w:b/>
          <w:i/>
          <w:sz w:val="28"/>
        </w:rPr>
        <w:t xml:space="preserve">проблем</w:t>
      </w:r>
      <w:r>
        <w:rPr>
          <w:rFonts w:ascii="Times New Roman" w:hAnsi="Times New Roman" w:cs="Times New Roman" w:eastAsia="Times New Roman"/>
          <w:b/>
          <w:i/>
          <w:color w:val="000000"/>
          <w:sz w:val="28"/>
        </w:rPr>
        <w:t xml:space="preserve">, на розв’язання яких </w:t>
      </w:r>
      <w:r>
        <w:rPr>
          <w:rFonts w:ascii="Times New Roman" w:hAnsi="Times New Roman" w:cs="Times New Roman" w:eastAsia="Times New Roman"/>
          <w:b/>
          <w:i/>
          <w:color w:val="000000"/>
          <w:sz w:val="28"/>
        </w:rPr>
        <w:t xml:space="preserve">спрямована Програма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Прийняття цієї Програми обумовлено необхідністю створення цілісної ефективної системи співробітництва з іноземними регіонами, яка відкриває нові перспективи для послідовного налагодження дружніх відносин та забезпечення належного, цілес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прямованого та стабільного виконання регіональної складової загальнонаціонального курсу України на євроінтеграцію, а також формування позитивного міжнародного іміджу міста, яке має забезпечити створення у світі сприятливого інформаційного простору для полі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тичного та соціально-економічного розвитку громади.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Позитивне сприйняття Менської міської об’єднаної територіальної громади та її населених пунктів з іноземними регіонами та містами/громадами є фактором, який безпосередньо впливає на розвиток нашої громади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і сприяє задоволенню його зовнішньополітичних та зовнішньо-економічних потреб, розв'язанню внутрішніх соціально-економічних проблем. Формування позитивного міжнародного іміджу громади є необхідним для забезпечення захисту його стратегічних інтересів, дотр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имання стратегічного курсу на євроінтеграцію, успішної конкурентної боротьби на міжнародних ринках.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Використання міжнародного міжрегіонального співробітництва є найдієвішими інструментами соціально-економічного розвитку громади, а також вирішення актуальни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х проблем.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Для подолання причин, що стримують подальшу інтенсифікацію міжнародної співпраці, процес формування позитивного міжнародного іміджу Менської міської об’єднаної територіальної громади та населених пунктів Менської міської об’єднаної територіально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ї громади, для їх розв’язання необхідне розроблення та прийняття відповідної Програми. Прийняття цієї Програми спрямовано на:</w:t>
      </w:r>
      <w:r/>
    </w:p>
    <w:p>
      <w:pPr>
        <w:numPr>
          <w:ilvl w:val="0"/>
          <w:numId w:val="8"/>
        </w:numPr>
        <w:ind w:left="0" w:hanging="0"/>
        <w:jc w:val="both"/>
        <w:spacing w:lineRule="auto" w:line="240" w:after="0"/>
        <w:tabs>
          <w:tab w:val="left" w:pos="284" w:leader="none"/>
          <w:tab w:val="left" w:pos="851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формування позитивного міжнародного іміджу Менської міської об’єднаної територіальної громади та населених пунктів Менської місько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ї об’єднаної територіальної громади, яке має забезпечити створення відповідного інформаційного простору, сприятливого для підвищення ефективності співробітництва та зростання надходження іноземних інвестицій в економіку громади та регіону;</w:t>
      </w:r>
      <w:r/>
    </w:p>
    <w:p>
      <w:pPr>
        <w:numPr>
          <w:ilvl w:val="0"/>
          <w:numId w:val="8"/>
        </w:numPr>
        <w:ind w:left="0" w:hanging="0"/>
        <w:jc w:val="both"/>
        <w:spacing w:lineRule="auto" w:line="240" w:after="0"/>
        <w:tabs>
          <w:tab w:val="left" w:pos="284" w:leader="none"/>
          <w:tab w:val="left" w:pos="851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роз’яснення перс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пектив європейської інтеграції України та її механізмів, формування широкої громадської підтримки курсу України на інтеграцію до ЄС, економічних та соціальних реформ, здійснюваних в рамках реалізації євроінтеграційної політики.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i/>
          <w:sz w:val="28"/>
        </w:rPr>
        <w:t xml:space="preserve">Мета </w:t>
      </w:r>
      <w:r>
        <w:rPr>
          <w:rFonts w:ascii="Times New Roman" w:hAnsi="Times New Roman" w:cs="Times New Roman" w:eastAsia="Times New Roman"/>
          <w:b/>
          <w:i/>
          <w:color w:val="000000"/>
          <w:sz w:val="28"/>
        </w:rPr>
        <w:t xml:space="preserve">Програми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Метою програми є обмін позитивним досвідом здійснення місцевого самоврядування, громадської та підприємницької діяльності, вивчення історії, національно-культурної самобутності і економічної особливостей країн, регіонів, використання інтелектуального, діло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вого та духовного потенціалу, зміцнення зв’язків між громадами-партнерами.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Програму складено з метою відродження практики співпраці Менської міської ради з громадами-партнерами, або міжнародними організаціями, фондами, шляхом активізації роботи по пошуку т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аких партнерів, підписання відповідних Договорів про налагодження партнерських контактів та співпраці (далі – Договір) та з метою налагодження нових контактів і поглиблення взаємовідносин.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i/>
          <w:color w:val="000000"/>
          <w:sz w:val="28"/>
        </w:rPr>
        <w:t xml:space="preserve">Шляхи і </w:t>
      </w:r>
      <w:r>
        <w:rPr>
          <w:rFonts w:ascii="Times New Roman" w:hAnsi="Times New Roman" w:cs="Times New Roman" w:eastAsia="Times New Roman"/>
          <w:b/>
          <w:i/>
          <w:sz w:val="28"/>
        </w:rPr>
        <w:t xml:space="preserve">способи </w:t>
      </w:r>
      <w:r>
        <w:rPr>
          <w:rFonts w:ascii="Times New Roman" w:hAnsi="Times New Roman" w:cs="Times New Roman" w:eastAsia="Times New Roman"/>
          <w:b/>
          <w:i/>
          <w:color w:val="000000"/>
          <w:sz w:val="28"/>
        </w:rPr>
        <w:t xml:space="preserve">розв’язання проблеми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Програма має стати дієвим інст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рументом реалізації державної та місцевої політики у сфері розвитку європейської інтеграції, покращення міжнародного іміджу, поглиблення співробітництва з іноземними громадами-партнерами та налагодження нових взаємно корисних зв’язків. 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Мети Програми перед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бачається досягти шляхом активізації міжнародного співробітництва у галузях економіки, інвестиційної діяльності, освіти, культури, туризму, інших сферах суспільного життя, завдяки реалізації заходів Програми та проведенню виваженої місцевої зовнішньої полі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тики, а також участі керівництва громади, підпорядкованих відділів, підприємств, установ, організацій у різноманітних міжнародних виставках, конференціях, семінарах, проведення в місті Мена та населених пунктах громади аналогічних заходів, обмін робочими т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а офіційними делегаціями, випуску інформаційних, презентаційних матеріалів про громаду, налагодження співпраці з іноземними партнерами тощо. 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Покращення інформування населення про міжнародну діяльність Менської міської об’єднаної територіальної громади пла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нується здійснювати за допомогою публікацій на офіційному сайті міської ради та співпраці з місцевими ЗМІ, встановлення інформативних стендів на території населених пунктів громади та у культурно-освітніх закладах, робота з молоддю. 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i/>
          <w:color w:val="000000"/>
          <w:sz w:val="28"/>
        </w:rPr>
        <w:t xml:space="preserve">Основні </w:t>
      </w:r>
      <w:r>
        <w:rPr>
          <w:rFonts w:ascii="Times New Roman" w:hAnsi="Times New Roman" w:cs="Times New Roman" w:eastAsia="Times New Roman"/>
          <w:b/>
          <w:i/>
          <w:sz w:val="28"/>
        </w:rPr>
        <w:t xml:space="preserve">завдання </w:t>
      </w:r>
      <w:r>
        <w:rPr>
          <w:rFonts w:ascii="Times New Roman" w:hAnsi="Times New Roman" w:cs="Times New Roman" w:eastAsia="Times New Roman"/>
          <w:b/>
          <w:i/>
          <w:color w:val="000000"/>
          <w:sz w:val="28"/>
        </w:rPr>
        <w:t xml:space="preserve">та на</w:t>
      </w:r>
      <w:r>
        <w:rPr>
          <w:rFonts w:ascii="Times New Roman" w:hAnsi="Times New Roman" w:cs="Times New Roman" w:eastAsia="Times New Roman"/>
          <w:b/>
          <w:i/>
          <w:color w:val="000000"/>
          <w:sz w:val="28"/>
        </w:rPr>
        <w:t xml:space="preserve">прямки діяльності Програми:</w:t>
      </w:r>
      <w:r/>
    </w:p>
    <w:p>
      <w:pPr>
        <w:numPr>
          <w:ilvl w:val="0"/>
          <w:numId w:val="3"/>
        </w:numPr>
        <w:ind w:left="0" w:hanging="0"/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обмін офіційними делегаціями;</w:t>
      </w:r>
      <w:r/>
    </w:p>
    <w:p>
      <w:pPr>
        <w:numPr>
          <w:ilvl w:val="0"/>
          <w:numId w:val="3"/>
        </w:numPr>
        <w:ind w:left="0" w:hanging="0"/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реа</w:t>
      </w:r>
      <w:r>
        <w:rPr>
          <w:rFonts w:ascii="Times New Roman" w:hAnsi="Times New Roman" w:cs="Times New Roman" w:eastAsia="Times New Roman"/>
          <w:sz w:val="28"/>
        </w:rPr>
        <w:t xml:space="preserve">лізація спільних проектів;</w:t>
      </w:r>
      <w:r/>
    </w:p>
    <w:p>
      <w:pPr>
        <w:numPr>
          <w:ilvl w:val="0"/>
          <w:numId w:val="3"/>
        </w:numPr>
        <w:ind w:left="0" w:hanging="0"/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зміцнення співпраці між органами місцевого самоврядування;</w:t>
      </w:r>
      <w:r/>
    </w:p>
    <w:p>
      <w:pPr>
        <w:numPr>
          <w:ilvl w:val="0"/>
          <w:numId w:val="3"/>
        </w:numPr>
        <w:ind w:left="0" w:hanging="0"/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залучення іноземних інвестицій, новітніх технологій та використання прогресивного іноземного управлінського досвіду;</w:t>
      </w:r>
      <w:r/>
    </w:p>
    <w:p>
      <w:pPr>
        <w:numPr>
          <w:ilvl w:val="0"/>
          <w:numId w:val="3"/>
        </w:numPr>
        <w:ind w:left="0" w:hanging="0"/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налагодження контактів між громадськими організаціями, активізація їх співпраці;</w:t>
      </w:r>
      <w:r/>
    </w:p>
    <w:p>
      <w:pPr>
        <w:numPr>
          <w:ilvl w:val="0"/>
          <w:numId w:val="3"/>
        </w:numPr>
        <w:ind w:left="0" w:hanging="0"/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формування позитивного міжнародного іміджу про Україну та </w:t>
      </w:r>
      <w:r>
        <w:rPr>
          <w:rFonts w:ascii="Times New Roman" w:hAnsi="Times New Roman" w:cs="Times New Roman" w:eastAsia="Times New Roman"/>
          <w:sz w:val="28"/>
        </w:rPr>
        <w:t xml:space="preserve">про нашу громаду;</w:t>
      </w:r>
      <w:r/>
    </w:p>
    <w:p>
      <w:pPr>
        <w:numPr>
          <w:ilvl w:val="0"/>
          <w:numId w:val="3"/>
        </w:numPr>
        <w:ind w:left="0" w:hanging="0"/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створення спільних програм і проектів у сфері культури, освіти, підприємництва, житлово-комунального господарства, туризму, охорони здоров’я та спорту;</w:t>
      </w:r>
      <w:r/>
    </w:p>
    <w:p>
      <w:pPr>
        <w:numPr>
          <w:ilvl w:val="0"/>
          <w:numId w:val="3"/>
        </w:numPr>
        <w:ind w:left="0" w:hanging="0"/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налагодження і розширення безпосередніх контактів між мешканцями;</w:t>
      </w:r>
      <w:r/>
    </w:p>
    <w:p>
      <w:pPr>
        <w:numPr>
          <w:ilvl w:val="0"/>
          <w:numId w:val="3"/>
        </w:numPr>
        <w:ind w:left="0" w:hanging="0"/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обмін учнівськими та</w:t>
      </w:r>
      <w:r>
        <w:rPr>
          <w:rFonts w:ascii="Times New Roman" w:hAnsi="Times New Roman" w:cs="Times New Roman" w:eastAsia="Times New Roman"/>
          <w:sz w:val="28"/>
        </w:rPr>
        <w:t xml:space="preserve"> молодіжними делегаціями;</w:t>
      </w:r>
      <w:r/>
    </w:p>
    <w:p>
      <w:pPr>
        <w:numPr>
          <w:ilvl w:val="0"/>
          <w:numId w:val="3"/>
        </w:numPr>
        <w:ind w:left="0" w:hanging="0"/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проведення культурно-мистецьких обмінів;</w:t>
      </w:r>
      <w:r/>
    </w:p>
    <w:p>
      <w:pPr>
        <w:numPr>
          <w:ilvl w:val="0"/>
          <w:numId w:val="3"/>
        </w:numPr>
        <w:ind w:left="0" w:hanging="0"/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інтегрування учнів у партнерські школи, позашкільні організації та сім’ї;</w:t>
      </w:r>
      <w:r/>
    </w:p>
    <w:p>
      <w:pPr>
        <w:numPr>
          <w:ilvl w:val="0"/>
          <w:numId w:val="3"/>
        </w:numPr>
        <w:ind w:left="0" w:hanging="0"/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покращення знань іноземних мов;</w:t>
      </w:r>
      <w:r/>
    </w:p>
    <w:p>
      <w:pPr>
        <w:numPr>
          <w:ilvl w:val="0"/>
          <w:numId w:val="3"/>
        </w:numPr>
        <w:ind w:left="0" w:hanging="0"/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обмін досвідом у боротьбі з соціальними проблемами (наркоманія, СНІД, алкоголізм то</w:t>
      </w:r>
      <w:r>
        <w:rPr>
          <w:rFonts w:ascii="Times New Roman" w:hAnsi="Times New Roman" w:cs="Times New Roman" w:eastAsia="Times New Roman"/>
          <w:sz w:val="28"/>
        </w:rPr>
        <w:t xml:space="preserve">що);</w:t>
      </w:r>
      <w:r/>
    </w:p>
    <w:p>
      <w:pPr>
        <w:numPr>
          <w:ilvl w:val="0"/>
          <w:numId w:val="3"/>
        </w:numPr>
        <w:ind w:left="0" w:hanging="0"/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спільне ство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рення та реалізація проектів співробітництва.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i/>
          <w:color w:val="000000"/>
          <w:sz w:val="28"/>
        </w:rPr>
        <w:t xml:space="preserve">Обсяги та </w:t>
      </w:r>
      <w:r>
        <w:rPr>
          <w:rFonts w:ascii="Times New Roman" w:hAnsi="Times New Roman" w:cs="Times New Roman" w:eastAsia="Times New Roman"/>
          <w:b/>
          <w:i/>
          <w:sz w:val="28"/>
        </w:rPr>
        <w:t xml:space="preserve">джерела </w:t>
      </w:r>
      <w:r>
        <w:rPr>
          <w:rFonts w:ascii="Times New Roman" w:hAnsi="Times New Roman" w:cs="Times New Roman" w:eastAsia="Times New Roman"/>
          <w:b/>
          <w:i/>
          <w:color w:val="000000"/>
          <w:sz w:val="28"/>
        </w:rPr>
        <w:t xml:space="preserve">фінансування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Фінансування реалізації Програми здійснюватиметься за рахунок коштів бюджету громади в межах наявного фінансового ресурсу, а також з інших джерел, не заборонених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законодавством. 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 Програмою кошти бюджету громади спрямовуються в першу чергу на:</w:t>
      </w:r>
      <w:r/>
    </w:p>
    <w:p>
      <w:pPr>
        <w:numPr>
          <w:ilvl w:val="0"/>
          <w:numId w:val="4"/>
        </w:numPr>
        <w:ind w:left="0" w:hanging="0"/>
        <w:jc w:val="both"/>
        <w:spacing w:lineRule="auto" w:line="240" w:after="0"/>
        <w:tabs>
          <w:tab w:val="left" w:pos="284" w:leader="none"/>
          <w:tab w:val="left" w:pos="567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придбання/виготовлення сувенірної продукції та презентаційних матеріалів, які використовуватимуться при офіційних зустрічах;</w:t>
      </w:r>
      <w:r/>
    </w:p>
    <w:p>
      <w:pPr>
        <w:numPr>
          <w:ilvl w:val="0"/>
          <w:numId w:val="4"/>
        </w:numPr>
        <w:ind w:left="0" w:hanging="0"/>
        <w:jc w:val="both"/>
        <w:spacing w:lineRule="auto" w:line="240" w:after="0"/>
        <w:tabs>
          <w:tab w:val="left" w:pos="284" w:leader="none"/>
          <w:tab w:val="left" w:pos="567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придбання/виготовлення державних символік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та символіки громад-партнерів;</w:t>
      </w:r>
      <w:r/>
    </w:p>
    <w:p>
      <w:pPr>
        <w:numPr>
          <w:ilvl w:val="0"/>
          <w:numId w:val="4"/>
        </w:numPr>
        <w:ind w:left="0" w:hanging="0"/>
        <w:jc w:val="both"/>
        <w:spacing w:lineRule="auto" w:line="240" w:after="0"/>
        <w:tabs>
          <w:tab w:val="left" w:pos="284" w:leader="none"/>
          <w:tab w:val="left" w:pos="567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транспортні витрати необхідні для зустрічі та супроводу офіційних делегацій;</w:t>
      </w:r>
      <w:r/>
    </w:p>
    <w:p>
      <w:pPr>
        <w:numPr>
          <w:ilvl w:val="0"/>
          <w:numId w:val="4"/>
        </w:numPr>
        <w:ind w:left="0" w:hanging="0"/>
        <w:jc w:val="both"/>
        <w:spacing w:lineRule="auto" w:line="240" w:after="0"/>
        <w:tabs>
          <w:tab w:val="left" w:pos="284" w:leader="none"/>
          <w:tab w:val="left" w:pos="567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оплата транспортних витрат пов’язаних з візитом офіційної делегації Менської міської об’єднаної територіальної громади до громад-партнерів;</w:t>
      </w:r>
      <w:r/>
    </w:p>
    <w:p>
      <w:pPr>
        <w:numPr>
          <w:ilvl w:val="0"/>
          <w:numId w:val="4"/>
        </w:numPr>
        <w:ind w:left="0" w:hanging="0"/>
        <w:jc w:val="both"/>
        <w:spacing w:lineRule="auto" w:line="240" w:after="0"/>
        <w:tabs>
          <w:tab w:val="left" w:pos="284" w:leader="none"/>
          <w:tab w:val="left" w:pos="567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матеріа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ли для проведення міжнародних зустрічей, семінарів, презентацій, конференцій, культурно-мистецьких, спортивних заходів тощо;</w:t>
      </w:r>
      <w:r/>
    </w:p>
    <w:p>
      <w:pPr>
        <w:numPr>
          <w:ilvl w:val="0"/>
          <w:numId w:val="4"/>
        </w:numPr>
        <w:ind w:left="0" w:hanging="0"/>
        <w:jc w:val="both"/>
        <w:spacing w:lineRule="auto" w:line="240" w:after="0"/>
        <w:tabs>
          <w:tab w:val="left" w:pos="284" w:leader="none"/>
          <w:tab w:val="left" w:pos="567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організація та проведення в населених пунктах Менської громади культурно-мистецьких, спортивних заходів, міжнародних зустрічей, сем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інарів, презентацій, конференцій інших масових заходів за участі офіційних делегацій громад-партнерів або інших міжнародних партнерських організацій;</w:t>
      </w:r>
      <w:r/>
    </w:p>
    <w:p>
      <w:pPr>
        <w:numPr>
          <w:ilvl w:val="0"/>
          <w:numId w:val="4"/>
        </w:numPr>
        <w:ind w:left="0" w:hanging="0"/>
        <w:jc w:val="both"/>
        <w:spacing w:lineRule="auto" w:line="240" w:after="0"/>
        <w:tabs>
          <w:tab w:val="left" w:pos="284" w:leader="none"/>
          <w:tab w:val="left" w:pos="567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оплата послуг проживання та харчування для представників офіційних делегацій;</w:t>
      </w:r>
      <w:r/>
    </w:p>
    <w:p>
      <w:pPr>
        <w:numPr>
          <w:ilvl w:val="0"/>
          <w:numId w:val="4"/>
        </w:numPr>
        <w:ind w:left="0" w:hanging="0"/>
        <w:jc w:val="both"/>
        <w:spacing w:lineRule="auto" w:line="240" w:after="0"/>
        <w:tabs>
          <w:tab w:val="left" w:pos="284" w:leader="none"/>
          <w:tab w:val="left" w:pos="567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оплата інших послуг пов’язан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их з перебуванням делегацій з іноземних містами/громадами та візитами офіційної делегації Менської міської об’єднаної територіальної громади до громад-партнерів.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Обсяг фінансування заходів програми на 2020-2022 роки складає по 150 тис.грн. щорічно.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i/>
          <w:sz w:val="28"/>
        </w:rPr>
        <w:t xml:space="preserve">Термін </w:t>
      </w:r>
      <w:r>
        <w:rPr>
          <w:rFonts w:ascii="Times New Roman" w:hAnsi="Times New Roman" w:cs="Times New Roman" w:eastAsia="Times New Roman"/>
          <w:b/>
          <w:i/>
          <w:color w:val="000000"/>
          <w:sz w:val="28"/>
        </w:rPr>
        <w:t xml:space="preserve">виконання Програми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Програма діє протягом 2020-2022 року.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Виконання визначених Програмою завдань здійснюється шляхом послідовної реалізації впродовж зазначеного періоду заходів, направлених на розвиток та поглиблення євроінтеграційного та міжрегіонального с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півробітництва з громадами-партнерами, міжнародними організаціям та фондами, а також скоординованої та професійної інформаційно-роз’яснювальної роботи, спрямованої на формування позитивного міжнародного іміджу Менської міської об’єднаної територіальної гро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мади.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Внесення змін до плану заходів Програми та термінів їх виконання здійснюватиметься за необхідністю.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i/>
          <w:sz w:val="28"/>
        </w:rPr>
        <w:t xml:space="preserve">Очікувані </w:t>
      </w:r>
      <w:r>
        <w:rPr>
          <w:rFonts w:ascii="Times New Roman" w:hAnsi="Times New Roman" w:cs="Times New Roman" w:eastAsia="Times New Roman"/>
          <w:b/>
          <w:i/>
          <w:color w:val="000000"/>
          <w:sz w:val="28"/>
        </w:rPr>
        <w:t xml:space="preserve">результати: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Тісні стосунки з представниками іноземних держав сприятимуть розвитку взаємовигідного ділового партнерства, а саме виконання Програми дасть змогу:</w:t>
      </w:r>
      <w:r/>
    </w:p>
    <w:p>
      <w:pPr>
        <w:numPr>
          <w:ilvl w:val="0"/>
          <w:numId w:val="5"/>
        </w:numPr>
        <w:ind w:left="0" w:hanging="0"/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продовжити роботу з подальшого розвитку і поглиблення зв’язків з партнерами на довгостроковій основі;</w:t>
      </w:r>
      <w:r/>
    </w:p>
    <w:p>
      <w:pPr>
        <w:numPr>
          <w:ilvl w:val="0"/>
          <w:numId w:val="5"/>
        </w:numPr>
        <w:ind w:left="0" w:hanging="0"/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налагод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ити нові контакти і поглибити вже встановленні взаємовідносини;</w:t>
      </w:r>
      <w:r/>
    </w:p>
    <w:p>
      <w:pPr>
        <w:numPr>
          <w:ilvl w:val="0"/>
          <w:numId w:val="5"/>
        </w:numPr>
        <w:ind w:left="0" w:hanging="0"/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вивчати досвід діяльності і розвитку місцевого самоврядування та житлово-комунального господарства з метою впровадження кращих ідей та уникнення помилок при прийнятті певних рішень;</w:t>
      </w:r>
      <w:r/>
    </w:p>
    <w:p>
      <w:pPr>
        <w:numPr>
          <w:ilvl w:val="0"/>
          <w:numId w:val="5"/>
        </w:numPr>
        <w:ind w:left="0" w:hanging="0"/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вивчати до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свід роботи колег з громад-партнерів та впроваджувати цікаві прогресивні ідеї в нашій громаді;</w:t>
      </w:r>
      <w:r/>
    </w:p>
    <w:p>
      <w:pPr>
        <w:numPr>
          <w:ilvl w:val="0"/>
          <w:numId w:val="5"/>
        </w:numPr>
        <w:ind w:left="0" w:hanging="0"/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рекламувати інвестиційну та туристичну привабливість нашої громади;</w:t>
      </w:r>
      <w:r/>
    </w:p>
    <w:p>
      <w:pPr>
        <w:numPr>
          <w:ilvl w:val="0"/>
          <w:numId w:val="5"/>
        </w:numPr>
        <w:ind w:left="0" w:hanging="0"/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пропагувати національну культуру та українські народні звичаї;</w:t>
      </w:r>
      <w:r/>
    </w:p>
    <w:p>
      <w:pPr>
        <w:numPr>
          <w:ilvl w:val="0"/>
          <w:numId w:val="5"/>
        </w:numPr>
        <w:ind w:left="0" w:hanging="0"/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створювати оптимальні умови, необхідні для розвитку співпраці у всіх сферах життя громад-партнерів;</w:t>
      </w:r>
      <w:r/>
    </w:p>
    <w:p>
      <w:pPr>
        <w:numPr>
          <w:ilvl w:val="0"/>
          <w:numId w:val="5"/>
        </w:numPr>
        <w:ind w:left="0" w:hanging="0"/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збільшити кількість іноземців, зокрема молоді, які відвідуватимуть нашу громаду для ознайомлення з життям її громадян і досягненнями;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Молодіжний обмін делег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аціями стимулюватиме бажання учнівської молоді до більш глибокого вивчення іноземних мов, історії держав та громад, сприятиме знайомству і налагодженню безпосередніх дружніх стосунків між молоддю громад-партнерів. Молодь матиме можливість презентувати нашу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державу у Європі і знайомитися з культурою та історичною спадщиною інших держав, що сприятиме бажанню більше пізнавати і знати про інші країни, громади, міста, села.</w:t>
      </w:r>
      <w:r/>
    </w:p>
    <w:sectPr>
      <w:footnotePr/>
      <w:type w:val="nextPage"/>
      <w:pgSz w:w="11906" w:h="16838"/>
      <w:pgMar w:top="1134" w:right="567" w:bottom="1134" w:left="1701" w:gutter="0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Lohit Hindi">
    <w:panose1 w:val="02060803050605020204"/>
  </w:font>
  <w:font w:name="Symbol">
    <w:panose1 w:val="05010000000000000000"/>
  </w:font>
  <w:font w:name="Mangal">
    <w:panose1 w:val="02040502050405020303"/>
  </w:font>
  <w:font w:name="Wingdings">
    <w:panose1 w:val="05030102010509060703"/>
  </w:font>
  <w:font w:name="Courier New">
    <w:panose1 w:val="02070309020205020404"/>
  </w:font>
  <w:font w:name="Times New Roman">
    <w:panose1 w:val="02020603050405020304"/>
  </w:font>
  <w:font w:name="Segoe UI">
    <w:panose1 w:val="020B0502040504020204"/>
  </w:font>
  <w:font w:name="Arial">
    <w:panose1 w:val="020B0604020202020204"/>
  </w:font>
  <w:font w:name="Droid Sans">
    <w:panose1 w:val="020B0502000000000001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4"/>
      </w:pPr>
    </w:lvl>
    <w:lvl w:ilvl="1">
      <w:start w:val="1"/>
      <w:numFmt w:val="lowerLetter"/>
      <w:suff w:val="tab"/>
      <w:lvlText w:val="%2."/>
      <w:lvlJc w:val="left"/>
      <w:pPr>
        <w:ind w:left="1440" w:hanging="354"/>
      </w:pPr>
    </w:lvl>
    <w:lvl w:ilvl="2">
      <w:start w:val="1"/>
      <w:numFmt w:val="lowerRoman"/>
      <w:suff w:val="tab"/>
      <w:lvlText w:val="%3."/>
      <w:lvlJc w:val="right"/>
      <w:pPr>
        <w:ind w:left="2160" w:hanging="174"/>
      </w:pPr>
    </w:lvl>
    <w:lvl w:ilvl="3">
      <w:start w:val="1"/>
      <w:numFmt w:val="decimal"/>
      <w:suff w:val="tab"/>
      <w:lvlText w:val="%4."/>
      <w:lvlJc w:val="left"/>
      <w:pPr>
        <w:ind w:left="2880" w:hanging="354"/>
      </w:pPr>
    </w:lvl>
    <w:lvl w:ilvl="4">
      <w:start w:val="1"/>
      <w:numFmt w:val="lowerLetter"/>
      <w:suff w:val="tab"/>
      <w:lvlText w:val="%5."/>
      <w:lvlJc w:val="left"/>
      <w:pPr>
        <w:ind w:left="3600" w:hanging="354"/>
      </w:pPr>
    </w:lvl>
    <w:lvl w:ilvl="5">
      <w:start w:val="1"/>
      <w:numFmt w:val="lowerRoman"/>
      <w:suff w:val="tab"/>
      <w:lvlText w:val="%6."/>
      <w:lvlJc w:val="right"/>
      <w:pPr>
        <w:ind w:left="4320" w:hanging="174"/>
      </w:pPr>
    </w:lvl>
    <w:lvl w:ilvl="6">
      <w:start w:val="1"/>
      <w:numFmt w:val="decimal"/>
      <w:suff w:val="tab"/>
      <w:lvlText w:val="%7."/>
      <w:lvlJc w:val="left"/>
      <w:pPr>
        <w:ind w:left="5040" w:hanging="354"/>
      </w:pPr>
    </w:lvl>
    <w:lvl w:ilvl="7">
      <w:start w:val="1"/>
      <w:numFmt w:val="lowerLetter"/>
      <w:suff w:val="tab"/>
      <w:lvlText w:val="%8."/>
      <w:lvlJc w:val="left"/>
      <w:pPr>
        <w:ind w:left="5760" w:hanging="354"/>
      </w:pPr>
    </w:lvl>
    <w:lvl w:ilvl="8">
      <w:start w:val="1"/>
      <w:numFmt w:val="lowerRoman"/>
      <w:suff w:val="tab"/>
      <w:lvlText w:val="%9."/>
      <w:lvlJc w:val="right"/>
      <w:pPr>
        <w:ind w:left="6480" w:hanging="174"/>
      </w:p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3"/>
      </w:pPr>
    </w:lvl>
    <w:lvl w:ilvl="1">
      <w:start w:val="1"/>
      <w:numFmt w:val="lowerLetter"/>
      <w:suff w:val="tab"/>
      <w:lvlText w:val="%2."/>
      <w:lvlJc w:val="left"/>
      <w:pPr>
        <w:ind w:left="1440" w:hanging="353"/>
      </w:pPr>
    </w:lvl>
    <w:lvl w:ilvl="2">
      <w:start w:val="1"/>
      <w:numFmt w:val="lowerRoman"/>
      <w:suff w:val="tab"/>
      <w:lvlText w:val="%3."/>
      <w:lvlJc w:val="right"/>
      <w:pPr>
        <w:ind w:left="2160" w:hanging="173"/>
      </w:pPr>
    </w:lvl>
    <w:lvl w:ilvl="3">
      <w:start w:val="1"/>
      <w:numFmt w:val="decimal"/>
      <w:suff w:val="tab"/>
      <w:lvlText w:val="%4."/>
      <w:lvlJc w:val="left"/>
      <w:pPr>
        <w:ind w:left="2880" w:hanging="353"/>
      </w:pPr>
    </w:lvl>
    <w:lvl w:ilvl="4">
      <w:start w:val="1"/>
      <w:numFmt w:val="lowerLetter"/>
      <w:suff w:val="tab"/>
      <w:lvlText w:val="%5."/>
      <w:lvlJc w:val="left"/>
      <w:pPr>
        <w:ind w:left="3600" w:hanging="353"/>
      </w:pPr>
    </w:lvl>
    <w:lvl w:ilvl="5">
      <w:start w:val="1"/>
      <w:numFmt w:val="lowerRoman"/>
      <w:suff w:val="tab"/>
      <w:lvlText w:val="%6."/>
      <w:lvlJc w:val="right"/>
      <w:pPr>
        <w:ind w:left="4320" w:hanging="173"/>
      </w:pPr>
    </w:lvl>
    <w:lvl w:ilvl="6">
      <w:start w:val="1"/>
      <w:numFmt w:val="decimal"/>
      <w:suff w:val="tab"/>
      <w:lvlText w:val="%7."/>
      <w:lvlJc w:val="left"/>
      <w:pPr>
        <w:ind w:left="5040" w:hanging="353"/>
      </w:pPr>
    </w:lvl>
    <w:lvl w:ilvl="7">
      <w:start w:val="1"/>
      <w:numFmt w:val="lowerLetter"/>
      <w:suff w:val="tab"/>
      <w:lvlText w:val="%8."/>
      <w:lvlJc w:val="left"/>
      <w:pPr>
        <w:ind w:left="5760" w:hanging="353"/>
      </w:pPr>
    </w:lvl>
    <w:lvl w:ilvl="8">
      <w:start w:val="1"/>
      <w:numFmt w:val="lowerRoman"/>
      <w:suff w:val="tab"/>
      <w:lvlText w:val="%9."/>
      <w:lvlJc w:val="right"/>
      <w:pPr>
        <w:ind w:left="6480" w:hanging="173"/>
      </w:pPr>
    </w:lvl>
  </w:abstractNum>
  <w:abstractNum w:abstractNumId="2">
    <w:multiLevelType w:val="hybridMultilevel"/>
    <w:lvl w:ilvl="0">
      <w:start w:val="1"/>
      <w:numFmt w:val="bullet"/>
      <w:suff w:val="tab"/>
      <w:lvlText w:val="-"/>
      <w:lvlJc w:val="left"/>
      <w:pPr>
        <w:ind w:left="720" w:hanging="354"/>
      </w:pPr>
      <w:rPr>
        <w:rFonts w:ascii="Times New Roman" w:hAnsi="Times New Roman" w:cs="Times New Roman" w:eastAsia="Times New Roman" w:hint="default"/>
        <w:color w:val="000000"/>
        <w:sz w:val="22"/>
      </w:rPr>
    </w:lvl>
    <w:lvl w:ilvl="1">
      <w:start w:val="1"/>
      <w:numFmt w:val="bullet"/>
      <w:suff w:val="tab"/>
      <w:lvlText w:val="o"/>
      <w:lvlJc w:val="left"/>
      <w:pPr>
        <w:ind w:left="1440" w:hanging="354"/>
      </w:pPr>
      <w:rPr>
        <w:rFonts w:ascii="Courier New" w:hAnsi="Courier New" w:cs="Courier New" w:eastAsia="Courier New"/>
      </w:rPr>
    </w:lvl>
    <w:lvl w:ilvl="2">
      <w:start w:val="1"/>
      <w:numFmt w:val="bullet"/>
      <w:suff w:val="tab"/>
      <w:lvlText w:val="§"/>
      <w:lvlJc w:val="left"/>
      <w:pPr>
        <w:ind w:left="2160" w:hanging="354"/>
      </w:pPr>
      <w:rPr>
        <w:rFonts w:ascii="Wingdings" w:hAnsi="Wingdings" w:cs="Wingdings" w:eastAsia="Wingdings"/>
      </w:rPr>
    </w:lvl>
    <w:lvl w:ilvl="3">
      <w:start w:val="1"/>
      <w:numFmt w:val="bullet"/>
      <w:suff w:val="tab"/>
      <w:lvlText w:val="·"/>
      <w:lvlJc w:val="left"/>
      <w:pPr>
        <w:ind w:left="2880" w:hanging="354"/>
      </w:pPr>
      <w:rPr>
        <w:rFonts w:ascii="Symbol" w:hAnsi="Symbol" w:cs="Symbol" w:eastAsia="Symbol"/>
      </w:rPr>
    </w:lvl>
    <w:lvl w:ilvl="4">
      <w:start w:val="1"/>
      <w:numFmt w:val="bullet"/>
      <w:suff w:val="tab"/>
      <w:lvlText w:val="o"/>
      <w:lvlJc w:val="left"/>
      <w:pPr>
        <w:ind w:left="3600" w:hanging="354"/>
      </w:pPr>
      <w:rPr>
        <w:rFonts w:ascii="Courier New" w:hAnsi="Courier New" w:cs="Courier New" w:eastAsia="Courier New"/>
      </w:rPr>
    </w:lvl>
    <w:lvl w:ilvl="5">
      <w:start w:val="1"/>
      <w:numFmt w:val="bullet"/>
      <w:suff w:val="tab"/>
      <w:lvlText w:val="§"/>
      <w:lvlJc w:val="left"/>
      <w:pPr>
        <w:ind w:left="4320" w:hanging="354"/>
      </w:pPr>
      <w:rPr>
        <w:rFonts w:ascii="Wingdings" w:hAnsi="Wingdings" w:cs="Wingdings" w:eastAsia="Wingdings"/>
      </w:rPr>
    </w:lvl>
    <w:lvl w:ilvl="6">
      <w:start w:val="1"/>
      <w:numFmt w:val="bullet"/>
      <w:suff w:val="tab"/>
      <w:lvlText w:val="·"/>
      <w:lvlJc w:val="left"/>
      <w:pPr>
        <w:ind w:left="5040" w:hanging="354"/>
      </w:pPr>
      <w:rPr>
        <w:rFonts w:ascii="Symbol" w:hAnsi="Symbol" w:cs="Symbol" w:eastAsia="Symbol"/>
      </w:rPr>
    </w:lvl>
    <w:lvl w:ilvl="7">
      <w:start w:val="1"/>
      <w:numFmt w:val="bullet"/>
      <w:suff w:val="tab"/>
      <w:lvlText w:val="o"/>
      <w:lvlJc w:val="left"/>
      <w:pPr>
        <w:ind w:left="5760" w:hanging="354"/>
      </w:pPr>
      <w:rPr>
        <w:rFonts w:ascii="Courier New" w:hAnsi="Courier New" w:cs="Courier New" w:eastAsia="Courier New"/>
      </w:rPr>
    </w:lvl>
    <w:lvl w:ilvl="8">
      <w:start w:val="1"/>
      <w:numFmt w:val="bullet"/>
      <w:suff w:val="tab"/>
      <w:lvlText w:val="§"/>
      <w:lvlJc w:val="left"/>
      <w:pPr>
        <w:ind w:left="6480" w:hanging="354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4"/>
      </w:pPr>
    </w:lvl>
    <w:lvl w:ilvl="1">
      <w:start w:val="1"/>
      <w:numFmt w:val="lowerLetter"/>
      <w:suff w:val="tab"/>
      <w:lvlText w:val="%2."/>
      <w:lvlJc w:val="left"/>
      <w:pPr>
        <w:ind w:left="1440" w:hanging="354"/>
      </w:pPr>
    </w:lvl>
    <w:lvl w:ilvl="2">
      <w:start w:val="1"/>
      <w:numFmt w:val="lowerRoman"/>
      <w:suff w:val="tab"/>
      <w:lvlText w:val="%3."/>
      <w:lvlJc w:val="right"/>
      <w:pPr>
        <w:ind w:left="2160" w:hanging="174"/>
      </w:pPr>
    </w:lvl>
    <w:lvl w:ilvl="3">
      <w:start w:val="1"/>
      <w:numFmt w:val="decimal"/>
      <w:suff w:val="tab"/>
      <w:lvlText w:val="%4."/>
      <w:lvlJc w:val="left"/>
      <w:pPr>
        <w:ind w:left="2880" w:hanging="354"/>
      </w:pPr>
    </w:lvl>
    <w:lvl w:ilvl="4">
      <w:start w:val="1"/>
      <w:numFmt w:val="lowerLetter"/>
      <w:suff w:val="tab"/>
      <w:lvlText w:val="%5."/>
      <w:lvlJc w:val="left"/>
      <w:pPr>
        <w:ind w:left="3600" w:hanging="354"/>
      </w:pPr>
    </w:lvl>
    <w:lvl w:ilvl="5">
      <w:start w:val="1"/>
      <w:numFmt w:val="lowerRoman"/>
      <w:suff w:val="tab"/>
      <w:lvlText w:val="%6."/>
      <w:lvlJc w:val="right"/>
      <w:pPr>
        <w:ind w:left="4320" w:hanging="174"/>
      </w:pPr>
    </w:lvl>
    <w:lvl w:ilvl="6">
      <w:start w:val="1"/>
      <w:numFmt w:val="decimal"/>
      <w:suff w:val="tab"/>
      <w:lvlText w:val="%7."/>
      <w:lvlJc w:val="left"/>
      <w:pPr>
        <w:ind w:left="5040" w:hanging="354"/>
      </w:pPr>
    </w:lvl>
    <w:lvl w:ilvl="7">
      <w:start w:val="1"/>
      <w:numFmt w:val="lowerLetter"/>
      <w:suff w:val="tab"/>
      <w:lvlText w:val="%8."/>
      <w:lvlJc w:val="left"/>
      <w:pPr>
        <w:ind w:left="5760" w:hanging="354"/>
      </w:pPr>
    </w:lvl>
    <w:lvl w:ilvl="8">
      <w:start w:val="1"/>
      <w:numFmt w:val="lowerRoman"/>
      <w:suff w:val="tab"/>
      <w:lvlText w:val="%9."/>
      <w:lvlJc w:val="right"/>
      <w:pPr>
        <w:ind w:left="6480" w:hanging="174"/>
      </w:p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4"/>
      </w:pPr>
    </w:lvl>
    <w:lvl w:ilvl="1">
      <w:start w:val="1"/>
      <w:numFmt w:val="lowerLetter"/>
      <w:suff w:val="tab"/>
      <w:lvlText w:val="%2."/>
      <w:lvlJc w:val="left"/>
      <w:pPr>
        <w:ind w:left="1440" w:hanging="354"/>
      </w:pPr>
    </w:lvl>
    <w:lvl w:ilvl="2">
      <w:start w:val="1"/>
      <w:numFmt w:val="lowerRoman"/>
      <w:suff w:val="tab"/>
      <w:lvlText w:val="%3."/>
      <w:lvlJc w:val="right"/>
      <w:pPr>
        <w:ind w:left="2160" w:hanging="174"/>
      </w:pPr>
    </w:lvl>
    <w:lvl w:ilvl="3">
      <w:start w:val="1"/>
      <w:numFmt w:val="decimal"/>
      <w:suff w:val="tab"/>
      <w:lvlText w:val="%4."/>
      <w:lvlJc w:val="left"/>
      <w:pPr>
        <w:ind w:left="2880" w:hanging="354"/>
      </w:pPr>
    </w:lvl>
    <w:lvl w:ilvl="4">
      <w:start w:val="1"/>
      <w:numFmt w:val="lowerLetter"/>
      <w:suff w:val="tab"/>
      <w:lvlText w:val="%5."/>
      <w:lvlJc w:val="left"/>
      <w:pPr>
        <w:ind w:left="3600" w:hanging="354"/>
      </w:pPr>
    </w:lvl>
    <w:lvl w:ilvl="5">
      <w:start w:val="1"/>
      <w:numFmt w:val="lowerRoman"/>
      <w:suff w:val="tab"/>
      <w:lvlText w:val="%6."/>
      <w:lvlJc w:val="right"/>
      <w:pPr>
        <w:ind w:left="4320" w:hanging="174"/>
      </w:pPr>
    </w:lvl>
    <w:lvl w:ilvl="6">
      <w:start w:val="1"/>
      <w:numFmt w:val="decimal"/>
      <w:suff w:val="tab"/>
      <w:lvlText w:val="%7."/>
      <w:lvlJc w:val="left"/>
      <w:pPr>
        <w:ind w:left="5040" w:hanging="354"/>
      </w:pPr>
    </w:lvl>
    <w:lvl w:ilvl="7">
      <w:start w:val="1"/>
      <w:numFmt w:val="lowerLetter"/>
      <w:suff w:val="tab"/>
      <w:lvlText w:val="%8."/>
      <w:lvlJc w:val="left"/>
      <w:pPr>
        <w:ind w:left="5760" w:hanging="354"/>
      </w:pPr>
    </w:lvl>
    <w:lvl w:ilvl="8">
      <w:start w:val="1"/>
      <w:numFmt w:val="lowerRoman"/>
      <w:suff w:val="tab"/>
      <w:lvlText w:val="%9."/>
      <w:lvlJc w:val="right"/>
      <w:pPr>
        <w:ind w:left="6480" w:hanging="174"/>
      </w:pPr>
    </w:lvl>
  </w:abstractNum>
  <w:abstractNum w:abstractNumId="5">
    <w:multiLevelType w:val="hybridMultilevel"/>
    <w:lvl w:ilvl="0">
      <w:start w:val="1"/>
      <w:numFmt w:val="bullet"/>
      <w:suff w:val="tab"/>
      <w:lvlText w:val="·"/>
      <w:lvlJc w:val="left"/>
      <w:pPr>
        <w:ind w:left="720" w:hanging="354"/>
      </w:pPr>
      <w:rPr>
        <w:rFonts w:ascii="Symbol" w:hAnsi="Symbol" w:cs="Symbol" w:eastAsia="Symbol"/>
      </w:rPr>
    </w:lvl>
    <w:lvl w:ilvl="1">
      <w:start w:val="1"/>
      <w:numFmt w:val="bullet"/>
      <w:suff w:val="tab"/>
      <w:lvlText w:val="o"/>
      <w:lvlJc w:val="left"/>
      <w:pPr>
        <w:ind w:left="1440" w:hanging="354"/>
      </w:pPr>
      <w:rPr>
        <w:rFonts w:ascii="Courier New" w:hAnsi="Courier New" w:cs="Courier New" w:eastAsia="Courier New"/>
      </w:rPr>
    </w:lvl>
    <w:lvl w:ilvl="2">
      <w:start w:val="1"/>
      <w:numFmt w:val="bullet"/>
      <w:suff w:val="tab"/>
      <w:lvlText w:val="§"/>
      <w:lvlJc w:val="left"/>
      <w:pPr>
        <w:ind w:left="2160" w:hanging="354"/>
      </w:pPr>
      <w:rPr>
        <w:rFonts w:ascii="Wingdings" w:hAnsi="Wingdings" w:cs="Wingdings" w:eastAsia="Wingdings"/>
      </w:rPr>
    </w:lvl>
    <w:lvl w:ilvl="3">
      <w:start w:val="1"/>
      <w:numFmt w:val="bullet"/>
      <w:suff w:val="tab"/>
      <w:lvlText w:val="·"/>
      <w:lvlJc w:val="left"/>
      <w:pPr>
        <w:ind w:left="2880" w:hanging="354"/>
      </w:pPr>
      <w:rPr>
        <w:rFonts w:ascii="Symbol" w:hAnsi="Symbol" w:cs="Symbol" w:eastAsia="Symbol"/>
      </w:rPr>
    </w:lvl>
    <w:lvl w:ilvl="4">
      <w:start w:val="1"/>
      <w:numFmt w:val="bullet"/>
      <w:suff w:val="tab"/>
      <w:lvlText w:val="o"/>
      <w:lvlJc w:val="left"/>
      <w:pPr>
        <w:ind w:left="3600" w:hanging="354"/>
      </w:pPr>
      <w:rPr>
        <w:rFonts w:ascii="Courier New" w:hAnsi="Courier New" w:cs="Courier New" w:eastAsia="Courier New"/>
      </w:rPr>
    </w:lvl>
    <w:lvl w:ilvl="5">
      <w:start w:val="1"/>
      <w:numFmt w:val="bullet"/>
      <w:suff w:val="tab"/>
      <w:lvlText w:val="§"/>
      <w:lvlJc w:val="left"/>
      <w:pPr>
        <w:ind w:left="4320" w:hanging="354"/>
      </w:pPr>
      <w:rPr>
        <w:rFonts w:ascii="Wingdings" w:hAnsi="Wingdings" w:cs="Wingdings" w:eastAsia="Wingdings"/>
      </w:rPr>
    </w:lvl>
    <w:lvl w:ilvl="6">
      <w:start w:val="1"/>
      <w:numFmt w:val="bullet"/>
      <w:suff w:val="tab"/>
      <w:lvlText w:val="·"/>
      <w:lvlJc w:val="left"/>
      <w:pPr>
        <w:ind w:left="5040" w:hanging="354"/>
      </w:pPr>
      <w:rPr>
        <w:rFonts w:ascii="Symbol" w:hAnsi="Symbol" w:cs="Symbol" w:eastAsia="Symbol"/>
      </w:rPr>
    </w:lvl>
    <w:lvl w:ilvl="7">
      <w:start w:val="1"/>
      <w:numFmt w:val="bullet"/>
      <w:suff w:val="tab"/>
      <w:lvlText w:val="o"/>
      <w:lvlJc w:val="left"/>
      <w:pPr>
        <w:ind w:left="5760" w:hanging="354"/>
      </w:pPr>
      <w:rPr>
        <w:rFonts w:ascii="Courier New" w:hAnsi="Courier New" w:cs="Courier New" w:eastAsia="Courier New"/>
      </w:rPr>
    </w:lvl>
    <w:lvl w:ilvl="8">
      <w:start w:val="1"/>
      <w:numFmt w:val="bullet"/>
      <w:suff w:val="tab"/>
      <w:lvlText w:val="§"/>
      <w:lvlJc w:val="left"/>
      <w:pPr>
        <w:ind w:left="6480" w:hanging="354"/>
      </w:pPr>
      <w:rPr>
        <w:rFonts w:ascii="Wingdings" w:hAnsi="Wingdings" w:cs="Wingdings" w:eastAsia="Wingdings"/>
      </w:r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ind w:left="0" w:hanging="0"/>
      </w:pPr>
    </w:lvl>
    <w:lvl w:ilvl="1">
      <w:start w:val="1"/>
      <w:numFmt w:val="bullet"/>
      <w:suff w:val="tab"/>
      <w:lvlText w:val=""/>
      <w:lvlJc w:val="left"/>
      <w:pPr>
        <w:ind w:left="0" w:hanging="0"/>
      </w:pPr>
    </w:lvl>
    <w:lvl w:ilvl="2">
      <w:start w:val="1"/>
      <w:numFmt w:val="bullet"/>
      <w:suff w:val="tab"/>
      <w:lvlText w:val=""/>
      <w:lvlJc w:val="left"/>
      <w:pPr>
        <w:ind w:left="0" w:hanging="0"/>
      </w:pPr>
    </w:lvl>
    <w:lvl w:ilvl="3">
      <w:start w:val="1"/>
      <w:numFmt w:val="bullet"/>
      <w:suff w:val="tab"/>
      <w:lvlText w:val=""/>
      <w:lvlJc w:val="left"/>
      <w:pPr>
        <w:ind w:left="0" w:hanging="0"/>
      </w:pPr>
    </w:lvl>
    <w:lvl w:ilvl="4">
      <w:start w:val="1"/>
      <w:numFmt w:val="bullet"/>
      <w:suff w:val="tab"/>
      <w:lvlText w:val=""/>
      <w:lvlJc w:val="left"/>
      <w:pPr>
        <w:ind w:left="0" w:hanging="0"/>
      </w:pPr>
    </w:lvl>
    <w:lvl w:ilvl="5">
      <w:start w:val="1"/>
      <w:numFmt w:val="bullet"/>
      <w:suff w:val="tab"/>
      <w:lvlText w:val=""/>
      <w:lvlJc w:val="left"/>
      <w:pPr>
        <w:ind w:left="0" w:hanging="0"/>
      </w:pPr>
    </w:lvl>
    <w:lvl w:ilvl="6">
      <w:start w:val="1"/>
      <w:numFmt w:val="bullet"/>
      <w:suff w:val="tab"/>
      <w:lvlText w:val=""/>
      <w:lvlJc w:val="left"/>
      <w:pPr>
        <w:ind w:left="0" w:hanging="0"/>
      </w:pPr>
    </w:lvl>
    <w:lvl w:ilvl="7">
      <w:start w:val="1"/>
      <w:numFmt w:val="bullet"/>
      <w:suff w:val="tab"/>
      <w:lvlText w:val=""/>
      <w:lvlJc w:val="left"/>
      <w:pPr>
        <w:ind w:left="0" w:hanging="0"/>
      </w:pPr>
    </w:lvl>
    <w:lvl w:ilvl="8">
      <w:start w:val="1"/>
      <w:numFmt w:val="bullet"/>
      <w:suff w:val="tab"/>
      <w:lvlText w:val=""/>
      <w:lvlJc w:val="left"/>
      <w:pPr>
        <w:ind w:left="0" w:hanging="0"/>
      </w:p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4"/>
      </w:pPr>
    </w:lvl>
    <w:lvl w:ilvl="1">
      <w:start w:val="1"/>
      <w:numFmt w:val="lowerLetter"/>
      <w:suff w:val="tab"/>
      <w:lvlText w:val="%2."/>
      <w:lvlJc w:val="left"/>
      <w:pPr>
        <w:ind w:left="1440" w:hanging="354"/>
      </w:pPr>
    </w:lvl>
    <w:lvl w:ilvl="2">
      <w:start w:val="1"/>
      <w:numFmt w:val="lowerRoman"/>
      <w:suff w:val="tab"/>
      <w:lvlText w:val="%3."/>
      <w:lvlJc w:val="right"/>
      <w:pPr>
        <w:ind w:left="2160" w:hanging="174"/>
      </w:pPr>
    </w:lvl>
    <w:lvl w:ilvl="3">
      <w:start w:val="1"/>
      <w:numFmt w:val="decimal"/>
      <w:suff w:val="tab"/>
      <w:lvlText w:val="%4."/>
      <w:lvlJc w:val="left"/>
      <w:pPr>
        <w:ind w:left="2880" w:hanging="354"/>
      </w:pPr>
    </w:lvl>
    <w:lvl w:ilvl="4">
      <w:start w:val="1"/>
      <w:numFmt w:val="lowerLetter"/>
      <w:suff w:val="tab"/>
      <w:lvlText w:val="%5."/>
      <w:lvlJc w:val="left"/>
      <w:pPr>
        <w:ind w:left="3600" w:hanging="354"/>
      </w:pPr>
    </w:lvl>
    <w:lvl w:ilvl="5">
      <w:start w:val="1"/>
      <w:numFmt w:val="lowerRoman"/>
      <w:suff w:val="tab"/>
      <w:lvlText w:val="%6."/>
      <w:lvlJc w:val="right"/>
      <w:pPr>
        <w:ind w:left="4320" w:hanging="174"/>
      </w:pPr>
    </w:lvl>
    <w:lvl w:ilvl="6">
      <w:start w:val="1"/>
      <w:numFmt w:val="decimal"/>
      <w:suff w:val="tab"/>
      <w:lvlText w:val="%7."/>
      <w:lvlJc w:val="left"/>
      <w:pPr>
        <w:ind w:left="5040" w:hanging="354"/>
      </w:pPr>
    </w:lvl>
    <w:lvl w:ilvl="7">
      <w:start w:val="1"/>
      <w:numFmt w:val="lowerLetter"/>
      <w:suff w:val="tab"/>
      <w:lvlText w:val="%8."/>
      <w:lvlJc w:val="left"/>
      <w:pPr>
        <w:ind w:left="5760" w:hanging="354"/>
      </w:pPr>
    </w:lvl>
    <w:lvl w:ilvl="8">
      <w:start w:val="1"/>
      <w:numFmt w:val="lowerRoman"/>
      <w:suff w:val="tab"/>
      <w:lvlText w:val="%9."/>
      <w:lvlJc w:val="right"/>
      <w:pPr>
        <w:ind w:left="6480" w:hanging="174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6"/>
    <w:lvlOverride w:ilvl="0">
      <w:startOverride w:val="1"/>
    </w:lvlOverride>
  </w:num>
  <w:num w:numId="8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hanging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94" w:default="1">
    <w:name w:val="Normal"/>
    <w:qFormat/>
  </w:style>
  <w:style w:type="paragraph" w:styleId="195">
    <w:name w:val="Heading 1"/>
    <w:basedOn w:val="194"/>
    <w:next w:val="194"/>
    <w:link w:val="22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196">
    <w:name w:val="Heading 2"/>
    <w:basedOn w:val="194"/>
    <w:next w:val="194"/>
    <w:link w:val="22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197">
    <w:name w:val="Heading 3"/>
    <w:basedOn w:val="194"/>
    <w:next w:val="194"/>
    <w:link w:val="22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198">
    <w:name w:val="Heading 4"/>
    <w:basedOn w:val="194"/>
    <w:next w:val="194"/>
    <w:link w:val="22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199">
    <w:name w:val="Heading 5"/>
    <w:basedOn w:val="194"/>
    <w:next w:val="194"/>
    <w:link w:val="22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200">
    <w:name w:val="Heading 6"/>
    <w:basedOn w:val="194"/>
    <w:next w:val="194"/>
    <w:link w:val="22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201">
    <w:name w:val="Heading 7"/>
    <w:basedOn w:val="194"/>
    <w:next w:val="194"/>
    <w:link w:val="229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202">
    <w:name w:val="Heading 8"/>
    <w:basedOn w:val="194"/>
    <w:next w:val="194"/>
    <w:link w:val="230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203">
    <w:name w:val="Heading 9"/>
    <w:basedOn w:val="194"/>
    <w:next w:val="194"/>
    <w:link w:val="23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204" w:default="1">
    <w:name w:val="Default Paragraph Font"/>
    <w:uiPriority w:val="1"/>
    <w:semiHidden/>
    <w:unhideWhenUsed/>
  </w:style>
  <w:style w:type="table" w:styleId="20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206" w:default="1">
    <w:name w:val="No List"/>
    <w:uiPriority w:val="99"/>
    <w:semiHidden/>
    <w:unhideWhenUsed/>
  </w:style>
  <w:style w:type="character" w:styleId="207" w:customStyle="1">
    <w:name w:val="Heading 1 Char"/>
    <w:basedOn w:val="204"/>
    <w:uiPriority w:val="9"/>
    <w:rPr>
      <w:rFonts w:ascii="Arial" w:hAnsi="Arial" w:cs="Arial" w:eastAsia="Arial"/>
      <w:sz w:val="40"/>
      <w:szCs w:val="40"/>
    </w:rPr>
  </w:style>
  <w:style w:type="character" w:styleId="208" w:customStyle="1">
    <w:name w:val="Heading 2 Char"/>
    <w:basedOn w:val="204"/>
    <w:uiPriority w:val="9"/>
    <w:rPr>
      <w:rFonts w:ascii="Arial" w:hAnsi="Arial" w:cs="Arial" w:eastAsia="Arial"/>
      <w:sz w:val="34"/>
    </w:rPr>
  </w:style>
  <w:style w:type="character" w:styleId="209" w:customStyle="1">
    <w:name w:val="Heading 3 Char"/>
    <w:basedOn w:val="204"/>
    <w:uiPriority w:val="9"/>
    <w:rPr>
      <w:rFonts w:ascii="Arial" w:hAnsi="Arial" w:cs="Arial" w:eastAsia="Arial"/>
      <w:sz w:val="30"/>
      <w:szCs w:val="30"/>
    </w:rPr>
  </w:style>
  <w:style w:type="character" w:styleId="210" w:customStyle="1">
    <w:name w:val="Heading 4 Char"/>
    <w:basedOn w:val="204"/>
    <w:uiPriority w:val="9"/>
    <w:rPr>
      <w:rFonts w:ascii="Arial" w:hAnsi="Arial" w:cs="Arial" w:eastAsia="Arial"/>
      <w:b/>
      <w:bCs/>
      <w:sz w:val="26"/>
      <w:szCs w:val="26"/>
    </w:rPr>
  </w:style>
  <w:style w:type="character" w:styleId="211" w:customStyle="1">
    <w:name w:val="Heading 5 Char"/>
    <w:basedOn w:val="204"/>
    <w:uiPriority w:val="9"/>
    <w:rPr>
      <w:rFonts w:ascii="Arial" w:hAnsi="Arial" w:cs="Arial" w:eastAsia="Arial"/>
      <w:b/>
      <w:bCs/>
      <w:sz w:val="24"/>
      <w:szCs w:val="24"/>
    </w:rPr>
  </w:style>
  <w:style w:type="character" w:styleId="212" w:customStyle="1">
    <w:name w:val="Heading 6 Char"/>
    <w:basedOn w:val="204"/>
    <w:uiPriority w:val="9"/>
    <w:rPr>
      <w:rFonts w:ascii="Arial" w:hAnsi="Arial" w:cs="Arial" w:eastAsia="Arial"/>
      <w:b/>
      <w:bCs/>
      <w:sz w:val="22"/>
      <w:szCs w:val="22"/>
    </w:rPr>
  </w:style>
  <w:style w:type="character" w:styleId="213" w:customStyle="1">
    <w:name w:val="Heading 7 Char"/>
    <w:basedOn w:val="20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14" w:customStyle="1">
    <w:name w:val="Heading 8 Char"/>
    <w:basedOn w:val="204"/>
    <w:uiPriority w:val="9"/>
    <w:rPr>
      <w:rFonts w:ascii="Arial" w:hAnsi="Arial" w:cs="Arial" w:eastAsia="Arial"/>
      <w:i/>
      <w:iCs/>
      <w:sz w:val="22"/>
      <w:szCs w:val="22"/>
    </w:rPr>
  </w:style>
  <w:style w:type="character" w:styleId="215" w:customStyle="1">
    <w:name w:val="Heading 9 Char"/>
    <w:basedOn w:val="204"/>
    <w:uiPriority w:val="9"/>
    <w:rPr>
      <w:rFonts w:ascii="Arial" w:hAnsi="Arial" w:cs="Arial" w:eastAsia="Arial"/>
      <w:i/>
      <w:iCs/>
      <w:sz w:val="21"/>
      <w:szCs w:val="21"/>
    </w:rPr>
  </w:style>
  <w:style w:type="character" w:styleId="216" w:customStyle="1">
    <w:name w:val="Title Char"/>
    <w:basedOn w:val="204"/>
    <w:uiPriority w:val="10"/>
    <w:rPr>
      <w:sz w:val="48"/>
      <w:szCs w:val="48"/>
    </w:rPr>
  </w:style>
  <w:style w:type="character" w:styleId="217" w:customStyle="1">
    <w:name w:val="Subtitle Char"/>
    <w:basedOn w:val="204"/>
    <w:uiPriority w:val="11"/>
    <w:rPr>
      <w:sz w:val="24"/>
      <w:szCs w:val="24"/>
    </w:rPr>
  </w:style>
  <w:style w:type="character" w:styleId="218" w:customStyle="1">
    <w:name w:val="Quote Char"/>
    <w:uiPriority w:val="29"/>
    <w:rPr>
      <w:i/>
    </w:rPr>
  </w:style>
  <w:style w:type="character" w:styleId="219" w:customStyle="1">
    <w:name w:val="Intense Quote Char"/>
    <w:uiPriority w:val="30"/>
    <w:rPr>
      <w:i/>
    </w:rPr>
  </w:style>
  <w:style w:type="character" w:styleId="220" w:customStyle="1">
    <w:name w:val="Header Char"/>
    <w:basedOn w:val="204"/>
    <w:uiPriority w:val="99"/>
  </w:style>
  <w:style w:type="character" w:styleId="221" w:customStyle="1">
    <w:name w:val="Footer Char"/>
    <w:basedOn w:val="204"/>
    <w:uiPriority w:val="99"/>
  </w:style>
  <w:style w:type="character" w:styleId="222" w:customStyle="1">
    <w:name w:val="Footnote Text Char"/>
    <w:uiPriority w:val="99"/>
    <w:rPr>
      <w:sz w:val="18"/>
    </w:rPr>
  </w:style>
  <w:style w:type="character" w:styleId="223" w:customStyle="1">
    <w:name w:val="Заголовок 1 Знак"/>
    <w:basedOn w:val="204"/>
    <w:link w:val="195"/>
    <w:uiPriority w:val="9"/>
    <w:rPr>
      <w:rFonts w:ascii="Arial" w:hAnsi="Arial" w:cs="Arial" w:eastAsia="Arial"/>
      <w:sz w:val="40"/>
      <w:szCs w:val="40"/>
    </w:rPr>
  </w:style>
  <w:style w:type="character" w:styleId="224" w:customStyle="1">
    <w:name w:val="Заголовок 2 Знак"/>
    <w:basedOn w:val="204"/>
    <w:link w:val="196"/>
    <w:uiPriority w:val="9"/>
    <w:rPr>
      <w:rFonts w:ascii="Arial" w:hAnsi="Arial" w:cs="Arial" w:eastAsia="Arial"/>
      <w:sz w:val="34"/>
    </w:rPr>
  </w:style>
  <w:style w:type="character" w:styleId="225" w:customStyle="1">
    <w:name w:val="Заголовок 3 Знак"/>
    <w:basedOn w:val="204"/>
    <w:link w:val="197"/>
    <w:uiPriority w:val="9"/>
    <w:rPr>
      <w:rFonts w:ascii="Arial" w:hAnsi="Arial" w:cs="Arial" w:eastAsia="Arial"/>
      <w:sz w:val="30"/>
      <w:szCs w:val="30"/>
    </w:rPr>
  </w:style>
  <w:style w:type="character" w:styleId="226" w:customStyle="1">
    <w:name w:val="Заголовок 4 Знак"/>
    <w:basedOn w:val="204"/>
    <w:link w:val="198"/>
    <w:uiPriority w:val="9"/>
    <w:rPr>
      <w:rFonts w:ascii="Arial" w:hAnsi="Arial" w:cs="Arial" w:eastAsia="Arial"/>
      <w:b/>
      <w:bCs/>
      <w:sz w:val="26"/>
      <w:szCs w:val="26"/>
    </w:rPr>
  </w:style>
  <w:style w:type="character" w:styleId="227" w:customStyle="1">
    <w:name w:val="Заголовок 5 Знак"/>
    <w:basedOn w:val="204"/>
    <w:link w:val="199"/>
    <w:uiPriority w:val="9"/>
    <w:rPr>
      <w:rFonts w:ascii="Arial" w:hAnsi="Arial" w:cs="Arial" w:eastAsia="Arial"/>
      <w:b/>
      <w:bCs/>
      <w:sz w:val="24"/>
      <w:szCs w:val="24"/>
    </w:rPr>
  </w:style>
  <w:style w:type="character" w:styleId="228" w:customStyle="1">
    <w:name w:val="Заголовок 6 Знак"/>
    <w:basedOn w:val="204"/>
    <w:link w:val="200"/>
    <w:uiPriority w:val="9"/>
    <w:rPr>
      <w:rFonts w:ascii="Arial" w:hAnsi="Arial" w:cs="Arial" w:eastAsia="Arial"/>
      <w:b/>
      <w:bCs/>
      <w:sz w:val="22"/>
      <w:szCs w:val="22"/>
    </w:rPr>
  </w:style>
  <w:style w:type="character" w:styleId="229" w:customStyle="1">
    <w:name w:val="Заголовок 7 Знак"/>
    <w:basedOn w:val="204"/>
    <w:link w:val="20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30" w:customStyle="1">
    <w:name w:val="Заголовок 8 Знак"/>
    <w:basedOn w:val="204"/>
    <w:link w:val="202"/>
    <w:uiPriority w:val="9"/>
    <w:rPr>
      <w:rFonts w:ascii="Arial" w:hAnsi="Arial" w:cs="Arial" w:eastAsia="Arial"/>
      <w:i/>
      <w:iCs/>
      <w:sz w:val="22"/>
      <w:szCs w:val="22"/>
    </w:rPr>
  </w:style>
  <w:style w:type="character" w:styleId="231" w:customStyle="1">
    <w:name w:val="Заголовок 9 Знак"/>
    <w:basedOn w:val="204"/>
    <w:link w:val="203"/>
    <w:uiPriority w:val="9"/>
    <w:rPr>
      <w:rFonts w:ascii="Arial" w:hAnsi="Arial" w:cs="Arial" w:eastAsia="Arial"/>
      <w:i/>
      <w:iCs/>
      <w:sz w:val="21"/>
      <w:szCs w:val="21"/>
    </w:rPr>
  </w:style>
  <w:style w:type="paragraph" w:styleId="232">
    <w:name w:val="List Paragraph"/>
    <w:basedOn w:val="194"/>
    <w:qFormat/>
    <w:uiPriority w:val="34"/>
    <w:pPr>
      <w:contextualSpacing w:val="true"/>
      <w:ind w:left="720"/>
    </w:pPr>
  </w:style>
  <w:style w:type="paragraph" w:styleId="233">
    <w:name w:val="No Spacing"/>
    <w:qFormat/>
    <w:uiPriority w:val="1"/>
    <w:pPr>
      <w:spacing w:lineRule="auto" w:line="240" w:after="0"/>
    </w:pPr>
  </w:style>
  <w:style w:type="paragraph" w:styleId="234">
    <w:name w:val="Title"/>
    <w:basedOn w:val="194"/>
    <w:next w:val="194"/>
    <w:link w:val="235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235" w:customStyle="1">
    <w:name w:val="Назва Знак"/>
    <w:basedOn w:val="204"/>
    <w:link w:val="234"/>
    <w:uiPriority w:val="10"/>
    <w:rPr>
      <w:sz w:val="48"/>
      <w:szCs w:val="48"/>
    </w:rPr>
  </w:style>
  <w:style w:type="paragraph" w:styleId="236">
    <w:name w:val="Subtitle"/>
    <w:basedOn w:val="194"/>
    <w:next w:val="194"/>
    <w:link w:val="237"/>
    <w:qFormat/>
    <w:uiPriority w:val="11"/>
    <w:rPr>
      <w:sz w:val="24"/>
      <w:szCs w:val="24"/>
    </w:rPr>
    <w:pPr>
      <w:spacing w:before="200"/>
    </w:pPr>
  </w:style>
  <w:style w:type="character" w:styleId="237" w:customStyle="1">
    <w:name w:val="Підзаголовок Знак"/>
    <w:basedOn w:val="204"/>
    <w:link w:val="236"/>
    <w:uiPriority w:val="11"/>
    <w:rPr>
      <w:sz w:val="24"/>
      <w:szCs w:val="24"/>
    </w:rPr>
  </w:style>
  <w:style w:type="paragraph" w:styleId="238">
    <w:name w:val="Quote"/>
    <w:basedOn w:val="194"/>
    <w:next w:val="194"/>
    <w:link w:val="239"/>
    <w:qFormat/>
    <w:uiPriority w:val="29"/>
    <w:rPr>
      <w:i/>
    </w:rPr>
    <w:pPr>
      <w:ind w:left="720" w:right="720"/>
    </w:pPr>
  </w:style>
  <w:style w:type="character" w:styleId="239" w:customStyle="1">
    <w:name w:val="Цитата Знак"/>
    <w:link w:val="238"/>
    <w:uiPriority w:val="29"/>
    <w:rPr>
      <w:i/>
    </w:rPr>
  </w:style>
  <w:style w:type="paragraph" w:styleId="240">
    <w:name w:val="Intense Quote"/>
    <w:basedOn w:val="194"/>
    <w:next w:val="194"/>
    <w:link w:val="241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241" w:customStyle="1">
    <w:name w:val="Насичена цитата Знак"/>
    <w:link w:val="240"/>
    <w:uiPriority w:val="30"/>
    <w:rPr>
      <w:i/>
    </w:rPr>
  </w:style>
  <w:style w:type="paragraph" w:styleId="242">
    <w:name w:val="Header"/>
    <w:basedOn w:val="194"/>
    <w:link w:val="2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243" w:customStyle="1">
    <w:name w:val="Верхній колонтитул Знак"/>
    <w:basedOn w:val="204"/>
    <w:link w:val="242"/>
    <w:uiPriority w:val="99"/>
  </w:style>
  <w:style w:type="paragraph" w:styleId="244">
    <w:name w:val="Footer"/>
    <w:basedOn w:val="194"/>
    <w:link w:val="2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245" w:customStyle="1">
    <w:name w:val="Нижній колонтитул Знак"/>
    <w:basedOn w:val="204"/>
    <w:link w:val="244"/>
    <w:uiPriority w:val="99"/>
  </w:style>
  <w:style w:type="table" w:styleId="246">
    <w:name w:val="Table Grid"/>
    <w:basedOn w:val="205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247" w:customStyle="1">
    <w:name w:val="Lined"/>
    <w:basedOn w:val="2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48" w:customStyle="1">
    <w:name w:val="Lined - Accent 1"/>
    <w:basedOn w:val="2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49" w:customStyle="1">
    <w:name w:val="Lined - Accent 2"/>
    <w:basedOn w:val="2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50" w:customStyle="1">
    <w:name w:val="Lined - Accent 3"/>
    <w:basedOn w:val="2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51" w:customStyle="1">
    <w:name w:val="Lined - Accent 4"/>
    <w:basedOn w:val="2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52" w:customStyle="1">
    <w:name w:val="Lined - Accent 5"/>
    <w:basedOn w:val="2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53" w:customStyle="1">
    <w:name w:val="Lined - Accent 6"/>
    <w:basedOn w:val="2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54" w:customStyle="1">
    <w:name w:val="Bordered"/>
    <w:basedOn w:val="2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55" w:customStyle="1">
    <w:name w:val="Bordered - Accent 1"/>
    <w:basedOn w:val="2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56" w:customStyle="1">
    <w:name w:val="Bordered - Accent 2"/>
    <w:basedOn w:val="2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57" w:customStyle="1">
    <w:name w:val="Bordered - Accent 3"/>
    <w:basedOn w:val="2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58" w:customStyle="1">
    <w:name w:val="Bordered - Accent 4"/>
    <w:basedOn w:val="2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59" w:customStyle="1">
    <w:name w:val="Bordered - Accent 5"/>
    <w:basedOn w:val="2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60" w:customStyle="1">
    <w:name w:val="Bordered - Accent 6"/>
    <w:basedOn w:val="2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61" w:customStyle="1">
    <w:name w:val="Bordered &amp; Lined"/>
    <w:basedOn w:val="2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62" w:customStyle="1">
    <w:name w:val="Bordered &amp; Lined - Accent 1"/>
    <w:basedOn w:val="2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63" w:customStyle="1">
    <w:name w:val="Bordered &amp; Lined - Accent 2"/>
    <w:basedOn w:val="2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64" w:customStyle="1">
    <w:name w:val="Bordered &amp; Lined - Accent 3"/>
    <w:basedOn w:val="2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65" w:customStyle="1">
    <w:name w:val="Bordered &amp; Lined - Accent 4"/>
    <w:basedOn w:val="2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66" w:customStyle="1">
    <w:name w:val="Bordered &amp; Lined - Accent 5"/>
    <w:basedOn w:val="2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67" w:customStyle="1">
    <w:name w:val="Bordered &amp; Lined - Accent 6"/>
    <w:basedOn w:val="2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268">
    <w:name w:val="Hyperlink"/>
    <w:uiPriority w:val="99"/>
    <w:unhideWhenUsed/>
    <w:rPr>
      <w:color w:val="0000FF" w:themeColor="hyperlink"/>
      <w:u w:val="single"/>
    </w:rPr>
  </w:style>
  <w:style w:type="paragraph" w:styleId="269">
    <w:name w:val="footnote text"/>
    <w:basedOn w:val="194"/>
    <w:link w:val="270"/>
    <w:uiPriority w:val="99"/>
    <w:semiHidden/>
    <w:unhideWhenUsed/>
    <w:rPr>
      <w:sz w:val="18"/>
    </w:rPr>
    <w:pPr>
      <w:spacing w:lineRule="auto" w:line="240" w:after="40"/>
    </w:pPr>
  </w:style>
  <w:style w:type="character" w:styleId="270" w:customStyle="1">
    <w:name w:val="Текст виноски Знак"/>
    <w:link w:val="269"/>
    <w:uiPriority w:val="99"/>
    <w:rPr>
      <w:sz w:val="18"/>
    </w:rPr>
  </w:style>
  <w:style w:type="character" w:styleId="271">
    <w:name w:val="footnote reference"/>
    <w:basedOn w:val="204"/>
    <w:uiPriority w:val="99"/>
    <w:unhideWhenUsed/>
    <w:rPr>
      <w:vertAlign w:val="superscript"/>
    </w:rPr>
  </w:style>
  <w:style w:type="paragraph" w:styleId="272">
    <w:name w:val="toc 1"/>
    <w:basedOn w:val="194"/>
    <w:next w:val="194"/>
    <w:uiPriority w:val="39"/>
    <w:unhideWhenUsed/>
    <w:pPr>
      <w:spacing w:after="57"/>
    </w:pPr>
  </w:style>
  <w:style w:type="paragraph" w:styleId="273">
    <w:name w:val="toc 2"/>
    <w:basedOn w:val="194"/>
    <w:next w:val="194"/>
    <w:uiPriority w:val="39"/>
    <w:unhideWhenUsed/>
    <w:pPr>
      <w:ind w:left="283"/>
      <w:spacing w:after="57"/>
    </w:pPr>
  </w:style>
  <w:style w:type="paragraph" w:styleId="274">
    <w:name w:val="toc 3"/>
    <w:basedOn w:val="194"/>
    <w:next w:val="194"/>
    <w:uiPriority w:val="39"/>
    <w:unhideWhenUsed/>
    <w:pPr>
      <w:ind w:left="567"/>
      <w:spacing w:after="57"/>
    </w:pPr>
  </w:style>
  <w:style w:type="paragraph" w:styleId="275">
    <w:name w:val="toc 4"/>
    <w:basedOn w:val="194"/>
    <w:next w:val="194"/>
    <w:uiPriority w:val="39"/>
    <w:unhideWhenUsed/>
    <w:pPr>
      <w:ind w:left="850"/>
      <w:spacing w:after="57"/>
    </w:pPr>
  </w:style>
  <w:style w:type="paragraph" w:styleId="276">
    <w:name w:val="toc 5"/>
    <w:basedOn w:val="194"/>
    <w:next w:val="194"/>
    <w:uiPriority w:val="39"/>
    <w:unhideWhenUsed/>
    <w:pPr>
      <w:ind w:left="1134"/>
      <w:spacing w:after="57"/>
    </w:pPr>
  </w:style>
  <w:style w:type="paragraph" w:styleId="277">
    <w:name w:val="toc 6"/>
    <w:basedOn w:val="194"/>
    <w:next w:val="194"/>
    <w:uiPriority w:val="39"/>
    <w:unhideWhenUsed/>
    <w:pPr>
      <w:ind w:left="1417"/>
      <w:spacing w:after="57"/>
    </w:pPr>
  </w:style>
  <w:style w:type="paragraph" w:styleId="278">
    <w:name w:val="toc 7"/>
    <w:basedOn w:val="194"/>
    <w:next w:val="194"/>
    <w:uiPriority w:val="39"/>
    <w:unhideWhenUsed/>
    <w:pPr>
      <w:ind w:left="1701"/>
      <w:spacing w:after="57"/>
    </w:pPr>
  </w:style>
  <w:style w:type="paragraph" w:styleId="279">
    <w:name w:val="toc 8"/>
    <w:basedOn w:val="194"/>
    <w:next w:val="194"/>
    <w:uiPriority w:val="39"/>
    <w:unhideWhenUsed/>
    <w:pPr>
      <w:ind w:left="1984"/>
      <w:spacing w:after="57"/>
    </w:pPr>
  </w:style>
  <w:style w:type="paragraph" w:styleId="280">
    <w:name w:val="toc 9"/>
    <w:basedOn w:val="194"/>
    <w:next w:val="194"/>
    <w:uiPriority w:val="39"/>
    <w:unhideWhenUsed/>
    <w:pPr>
      <w:ind w:left="2268"/>
      <w:spacing w:after="57"/>
    </w:pPr>
  </w:style>
  <w:style w:type="paragraph" w:styleId="281">
    <w:name w:val="TOC Heading"/>
    <w:uiPriority w:val="39"/>
    <w:unhideWhenUsed/>
  </w:style>
  <w:style w:type="paragraph" w:styleId="282">
    <w:name w:val="Balloon Text"/>
    <w:basedOn w:val="194"/>
    <w:link w:val="283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283" w:customStyle="1">
    <w:name w:val="Текст у виносці Знак"/>
    <w:basedOn w:val="204"/>
    <w:link w:val="282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