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8"/>
          <w:szCs w:val="28"/>
        </w:rPr>
      </w:pPr>
      <w:r>
        <w:rPr>
          <w:b/>
          <w:sz w:val="28"/>
          <w:szCs w:val="28"/>
        </w:rPr>
      </w:r>
      <w:r/>
    </w:p>
    <w:p>
      <w:pPr>
        <w:jc w:val="center"/>
        <w:rPr>
          <w:b/>
          <w:sz w:val="24"/>
          <w:szCs w:val="28"/>
        </w:rPr>
      </w:pPr>
      <w:r>
        <w:rPr>
          <w:b/>
          <w:sz w:val="28"/>
          <w:lang w:eastAsia="uk-UA"/>
        </w:rPr>
        <mc:AlternateContent>
          <mc:Choice Requires="wpg">
            <w:drawing>
              <wp:inline xmlns:wp="http://schemas.openxmlformats.org/drawingml/2006/wordprocessingDrawing" distT="0" distB="0" distL="0" distR="0">
                <wp:extent cx="518159" cy="739139"/>
                <wp:effectExtent l="0" t="0" r="0" b="3809"/>
                <wp:docPr id="1" name="Рисунок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8"/>
                        <a:stretch/>
                      </pic:blipFill>
                      <pic:spPr bwMode="auto">
                        <a:xfrm>
                          <a:off x="0" y="0"/>
                          <a:ext cx="518160" cy="7391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0.8pt;height:58.2pt;">
                <v:path textboxrect="0,0,0,0"/>
                <v:imagedata r:id="rId8" o:title=""/>
              </v:shape>
            </w:pict>
          </mc:Fallback>
        </mc:AlternateContent>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 РАДА</w:t>
      </w:r>
      <w:r/>
    </w:p>
    <w:p>
      <w:pPr>
        <w:pStyle w:val="189"/>
        <w:rPr>
          <w:sz w:val="28"/>
          <w:szCs w:val="28"/>
        </w:rPr>
      </w:pPr>
      <w:r>
        <w:rPr>
          <w:sz w:val="28"/>
          <w:szCs w:val="28"/>
        </w:rPr>
        <w:t xml:space="preserve">Менського району Чернігівської області</w:t>
      </w:r>
      <w:r/>
    </w:p>
    <w:p>
      <w:pPr>
        <w:jc w:val="center"/>
        <w:rPr>
          <w:sz w:val="28"/>
          <w:szCs w:val="28"/>
        </w:rPr>
      </w:pPr>
      <w:r>
        <w:rPr>
          <w:b/>
          <w:color w:val="000000"/>
          <w:sz w:val="28"/>
          <w:szCs w:val="28"/>
        </w:rPr>
        <w:t xml:space="preserve">(тридцять п’ята сесія сьомого скликання )</w:t>
      </w:r>
      <w:r/>
    </w:p>
    <w:p>
      <w:pPr>
        <w:pStyle w:val="265"/>
        <w:jc w:val="center"/>
        <w:rPr>
          <w:szCs w:val="28"/>
        </w:rPr>
      </w:pPr>
      <w:r>
        <w:rPr>
          <w:szCs w:val="28"/>
        </w:rPr>
        <w:t xml:space="preserve"> РІШЕННЯ</w:t>
      </w:r>
      <w:r/>
    </w:p>
    <w:p>
      <w:pPr>
        <w:rPr>
          <w:sz w:val="28"/>
          <w:szCs w:val="28"/>
        </w:rPr>
      </w:pPr>
      <w:r>
        <w:rPr>
          <w:sz w:val="28"/>
          <w:szCs w:val="28"/>
        </w:rPr>
        <w:t xml:space="preserve">26</w:t>
      </w:r>
      <w:r>
        <w:rPr>
          <w:sz w:val="28"/>
          <w:szCs w:val="28"/>
        </w:rPr>
        <w:t xml:space="preserve"> листопада</w:t>
      </w:r>
      <w:r>
        <w:rPr>
          <w:sz w:val="28"/>
          <w:szCs w:val="28"/>
        </w:rPr>
        <w:t xml:space="preserve"> 2019 року</w:t>
      </w:r>
      <w:r>
        <w:rPr>
          <w:sz w:val="28"/>
          <w:szCs w:val="28"/>
        </w:rPr>
        <w:tab/>
      </w:r>
      <w:r>
        <w:rPr>
          <w:sz w:val="28"/>
          <w:szCs w:val="28"/>
        </w:rPr>
        <w:tab/>
      </w:r>
      <w:r>
        <w:rPr>
          <w:sz w:val="28"/>
          <w:szCs w:val="28"/>
        </w:rPr>
        <w:tab/>
        <w:t xml:space="preserve">№</w:t>
      </w:r>
      <w:r>
        <w:rPr>
          <w:sz w:val="28"/>
          <w:szCs w:val="28"/>
        </w:rPr>
        <w:t xml:space="preserve"> </w:t>
      </w:r>
      <w:r>
        <w:rPr>
          <w:sz w:val="28"/>
          <w:szCs w:val="28"/>
        </w:rPr>
        <w:t xml:space="preserve">567</w:t>
      </w:r>
      <w:r/>
    </w:p>
    <w:p>
      <w:pPr>
        <w:ind w:right="5243"/>
        <w:spacing w:before="6" w:beforeAutospacing="0"/>
        <w:rPr>
          <w:b/>
          <w:sz w:val="28"/>
          <w:szCs w:val="28"/>
        </w:rPr>
      </w:pPr>
      <w:r>
        <w:rPr>
          <w:b/>
          <w:sz w:val="28"/>
          <w:szCs w:val="28"/>
        </w:rPr>
        <w:t xml:space="preserve">Про затвердження технічної документації із землеустрою щодо проведення нормативної грошової оцінки </w:t>
      </w:r>
      <w:r>
        <w:rPr>
          <w:b/>
          <w:sz w:val="28"/>
          <w:szCs w:val="28"/>
        </w:rPr>
        <w:t xml:space="preserve">земель</w:t>
      </w:r>
      <w:r/>
    </w:p>
    <w:p>
      <w:pPr>
        <w:rPr>
          <w:sz w:val="28"/>
          <w:szCs w:val="28"/>
        </w:rPr>
      </w:pPr>
      <w:r>
        <w:rPr>
          <w:sz w:val="28"/>
          <w:szCs w:val="28"/>
        </w:rPr>
      </w:r>
      <w:r/>
    </w:p>
    <w:p>
      <w:pPr>
        <w:ind w:firstLine="851"/>
        <w:jc w:val="both"/>
        <w:rPr>
          <w:sz w:val="28"/>
          <w:szCs w:val="28"/>
        </w:rPr>
      </w:pPr>
      <w:r>
        <w:rPr>
          <w:sz w:val="28"/>
          <w:szCs w:val="28"/>
        </w:rPr>
        <w:t xml:space="preserve">Розглянувши технічну документацію з нормативної грошової оцінки земель населених пунктів: с. Ушня, с. Дібровка, Менського району виготовлену інститутом землеустрою та земельно-правових відносин, керуючись Законом України «Про оцінку земель», та ст. 26 Закон</w:t>
      </w:r>
      <w:r>
        <w:rPr>
          <w:sz w:val="28"/>
          <w:szCs w:val="28"/>
        </w:rPr>
        <w:t xml:space="preserve">у України «Про місцеве самоврядування в Україні», Законом України «Про засади державної регуляторної політики у сфері господарської діяльності» Менська міська рада </w:t>
      </w:r>
      <w:r/>
    </w:p>
    <w:p>
      <w:pPr>
        <w:rPr>
          <w:b/>
          <w:sz w:val="28"/>
          <w:szCs w:val="28"/>
        </w:rPr>
      </w:pPr>
      <w:r>
        <w:rPr>
          <w:b/>
          <w:sz w:val="28"/>
          <w:szCs w:val="28"/>
        </w:rPr>
        <w:t xml:space="preserve">В И Р І Ш И Л А:</w:t>
      </w:r>
      <w:r/>
    </w:p>
    <w:p>
      <w:pPr>
        <w:numPr>
          <w:ilvl w:val="0"/>
          <w:numId w:val="5"/>
        </w:numPr>
        <w:ind w:left="0" w:hanging="0"/>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Внести зміни до плану діяльності Менської міської ради з підготовки проектів регуляторних актів в 2019 році та включити підготовку слідуючого регуляторного акту:</w:t>
      </w:r>
      <w:r/>
    </w:p>
    <w:p>
      <w:pPr>
        <w:ind w:firstLine="426"/>
        <w:jc w:val="both"/>
        <w:rPr>
          <w:sz w:val="28"/>
          <w:szCs w:val="28"/>
        </w:rPr>
      </w:pPr>
      <w:r>
        <w:rPr>
          <w:sz w:val="28"/>
          <w:szCs w:val="28"/>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1345"/>
        <w:gridCol w:w="2337"/>
        <w:gridCol w:w="2533"/>
        <w:gridCol w:w="1522"/>
        <w:gridCol w:w="1607"/>
      </w:tblGrid>
      <w:tr>
        <w:trPr/>
        <w:tc>
          <w:tcPr>
            <w:tcBorders>
              <w:left w:val="single" w:sz="4" w:space="0" w:color="auto"/>
              <w:top w:val="single" w:sz="4" w:space="0" w:color="auto"/>
              <w:right w:val="single" w:sz="4" w:space="0" w:color="auto"/>
              <w:bottom w:val="single" w:sz="4" w:space="0" w:color="auto"/>
            </w:tcBorders>
            <w:tcW w:w="1242" w:type="dxa"/>
            <w:textDirection w:val="lrTb"/>
            <w:noWrap w:val="false"/>
          </w:tcPr>
          <w:p>
            <w:pPr>
              <w:jc w:val="both"/>
              <w:rPr>
                <w:sz w:val="22"/>
                <w:szCs w:val="28"/>
              </w:rPr>
            </w:pPr>
            <w:r>
              <w:rPr>
                <w:sz w:val="22"/>
                <w:szCs w:val="28"/>
              </w:rPr>
              <w:t xml:space="preserve">Вид проекту</w:t>
            </w:r>
            <w:r>
              <w:rPr>
                <w:sz w:val="16"/>
              </w:rPr>
            </w:r>
          </w:p>
        </w:tc>
        <w:tc>
          <w:tcPr>
            <w:tcBorders>
              <w:left w:val="single" w:sz="4" w:space="0" w:color="auto"/>
              <w:top w:val="single" w:sz="4" w:space="0" w:color="auto"/>
              <w:right w:val="single" w:sz="4" w:space="0" w:color="auto"/>
              <w:bottom w:val="single" w:sz="4" w:space="0" w:color="auto"/>
            </w:tcBorders>
            <w:tcW w:w="2491" w:type="dxa"/>
            <w:textDirection w:val="lrTb"/>
            <w:noWrap w:val="false"/>
          </w:tcPr>
          <w:p>
            <w:pPr>
              <w:jc w:val="both"/>
              <w:rPr>
                <w:sz w:val="22"/>
                <w:szCs w:val="28"/>
              </w:rPr>
            </w:pPr>
            <w:r>
              <w:rPr>
                <w:sz w:val="22"/>
                <w:szCs w:val="28"/>
              </w:rPr>
              <w:t xml:space="preserve">Назва проекту</w:t>
            </w:r>
            <w:r>
              <w:rPr>
                <w:sz w:val="16"/>
              </w:rPr>
            </w:r>
          </w:p>
        </w:tc>
        <w:tc>
          <w:tcPr>
            <w:tcBorders>
              <w:left w:val="single" w:sz="4" w:space="0" w:color="auto"/>
              <w:top w:val="single" w:sz="4" w:space="0" w:color="auto"/>
              <w:right w:val="single" w:sz="4" w:space="0" w:color="auto"/>
              <w:bottom w:val="single" w:sz="4" w:space="0" w:color="auto"/>
            </w:tcBorders>
            <w:tcW w:w="2668" w:type="dxa"/>
            <w:textDirection w:val="lrTb"/>
            <w:noWrap w:val="false"/>
          </w:tcPr>
          <w:p>
            <w:pPr>
              <w:jc w:val="both"/>
              <w:rPr>
                <w:sz w:val="22"/>
                <w:szCs w:val="28"/>
              </w:rPr>
            </w:pPr>
            <w:r>
              <w:rPr>
                <w:sz w:val="22"/>
                <w:szCs w:val="28"/>
              </w:rPr>
              <w:t xml:space="preserve">Ціль прийняття</w:t>
            </w:r>
            <w:r>
              <w:rPr>
                <w:sz w:val="16"/>
              </w:rPr>
            </w:r>
          </w:p>
        </w:tc>
        <w:tc>
          <w:tcPr>
            <w:tcBorders>
              <w:left w:val="single" w:sz="4" w:space="0" w:color="auto"/>
              <w:top w:val="single" w:sz="4" w:space="0" w:color="auto"/>
              <w:right w:val="single" w:sz="4" w:space="0" w:color="auto"/>
              <w:bottom w:val="single" w:sz="4" w:space="0" w:color="auto"/>
            </w:tcBorders>
            <w:tcW w:w="1522" w:type="dxa"/>
            <w:textDirection w:val="lrTb"/>
            <w:noWrap w:val="false"/>
          </w:tcPr>
          <w:p>
            <w:pPr>
              <w:jc w:val="both"/>
              <w:rPr>
                <w:sz w:val="22"/>
                <w:szCs w:val="28"/>
              </w:rPr>
            </w:pPr>
            <w:r>
              <w:rPr>
                <w:sz w:val="22"/>
                <w:szCs w:val="28"/>
              </w:rPr>
              <w:t xml:space="preserve">Строк підготовки</w:t>
            </w:r>
            <w:r>
              <w:rPr>
                <w:sz w:val="16"/>
              </w:rPr>
            </w:r>
          </w:p>
        </w:tc>
        <w:tc>
          <w:tcPr>
            <w:tcBorders>
              <w:left w:val="single" w:sz="4" w:space="0" w:color="auto"/>
              <w:top w:val="single" w:sz="4" w:space="0" w:color="auto"/>
              <w:right w:val="single" w:sz="4" w:space="0" w:color="auto"/>
              <w:bottom w:val="single" w:sz="4" w:space="0" w:color="auto"/>
            </w:tcBorders>
            <w:tcW w:w="1647" w:type="dxa"/>
            <w:textDirection w:val="lrTb"/>
            <w:noWrap w:val="false"/>
          </w:tcPr>
          <w:p>
            <w:pPr>
              <w:jc w:val="both"/>
              <w:rPr>
                <w:sz w:val="22"/>
                <w:szCs w:val="28"/>
              </w:rPr>
            </w:pPr>
            <w:r>
              <w:rPr>
                <w:sz w:val="22"/>
                <w:szCs w:val="28"/>
              </w:rPr>
              <w:t xml:space="preserve">Розробник проекту</w:t>
            </w:r>
            <w:r>
              <w:rPr>
                <w:sz w:val="16"/>
              </w:rPr>
            </w:r>
          </w:p>
        </w:tc>
      </w:tr>
      <w:tr>
        <w:trPr/>
        <w:tc>
          <w:tcPr>
            <w:tcBorders>
              <w:left w:val="single" w:sz="4" w:space="0" w:color="auto"/>
              <w:top w:val="single" w:sz="4" w:space="0" w:color="auto"/>
              <w:right w:val="single" w:sz="4" w:space="0" w:color="auto"/>
              <w:bottom w:val="single" w:sz="4" w:space="0" w:color="auto"/>
            </w:tcBorders>
            <w:tcW w:w="1242" w:type="dxa"/>
            <w:textDirection w:val="lrTb"/>
            <w:noWrap w:val="false"/>
          </w:tcPr>
          <w:p>
            <w:pPr>
              <w:jc w:val="both"/>
              <w:rPr>
                <w:sz w:val="28"/>
                <w:szCs w:val="28"/>
              </w:rPr>
            </w:pPr>
            <w:r>
              <w:rPr>
                <w:sz w:val="28"/>
                <w:szCs w:val="28"/>
              </w:rPr>
              <w:t xml:space="preserve">Рішення Менської міської ради</w:t>
            </w:r>
            <w:r/>
          </w:p>
        </w:tc>
        <w:tc>
          <w:tcPr>
            <w:tcBorders>
              <w:left w:val="single" w:sz="4" w:space="0" w:color="auto"/>
              <w:top w:val="single" w:sz="4" w:space="0" w:color="auto"/>
              <w:right w:val="single" w:sz="4" w:space="0" w:color="auto"/>
              <w:bottom w:val="single" w:sz="4" w:space="0" w:color="auto"/>
            </w:tcBorders>
            <w:tcW w:w="2491" w:type="dxa"/>
            <w:textDirection w:val="lrTb"/>
            <w:noWrap w:val="false"/>
          </w:tcPr>
          <w:p>
            <w:pPr>
              <w:jc w:val="both"/>
              <w:rPr>
                <w:sz w:val="28"/>
                <w:szCs w:val="28"/>
              </w:rPr>
            </w:pPr>
            <w:r>
              <w:rPr>
                <w:sz w:val="28"/>
                <w:szCs w:val="28"/>
              </w:rPr>
              <w:t xml:space="preserve">Про затвердження технічної документації із землеустрою щодо проведення нормативної грошової оцінки земель в межах наступних населених пунктів: с. Ушня, с. Дібровка, Менського району</w:t>
            </w:r>
            <w:r/>
          </w:p>
        </w:tc>
        <w:tc>
          <w:tcPr>
            <w:tcBorders>
              <w:left w:val="single" w:sz="4" w:space="0" w:color="auto"/>
              <w:top w:val="single" w:sz="4" w:space="0" w:color="auto"/>
              <w:right w:val="single" w:sz="4" w:space="0" w:color="auto"/>
              <w:bottom w:val="single" w:sz="4" w:space="0" w:color="auto"/>
            </w:tcBorders>
            <w:tcW w:w="2668" w:type="dxa"/>
            <w:textDirection w:val="lrTb"/>
            <w:noWrap w:val="false"/>
          </w:tcPr>
          <w:p>
            <w:pPr>
              <w:jc w:val="both"/>
              <w:rPr>
                <w:sz w:val="28"/>
                <w:szCs w:val="28"/>
              </w:rPr>
            </w:pPr>
            <w:r>
              <w:rPr>
                <w:sz w:val="28"/>
                <w:szCs w:val="28"/>
              </w:rPr>
              <w:t xml:space="preserve">Затвердження технічної документації із землеустрою щодо проведення нормативної грошової оцінки земель </w:t>
            </w:r>
            <w:bookmarkStart w:id="0" w:name="_Hlk17466366"/>
            <w:r>
              <w:rPr>
                <w:sz w:val="28"/>
                <w:szCs w:val="28"/>
              </w:rPr>
              <w:t xml:space="preserve">с. Ушня, с. Дібровка,</w:t>
            </w:r>
            <w:r>
              <w:rPr>
                <w:sz w:val="28"/>
                <w:szCs w:val="28"/>
              </w:rPr>
              <w:t xml:space="preserve"> </w:t>
            </w:r>
            <w:r>
              <w:rPr>
                <w:sz w:val="28"/>
                <w:szCs w:val="28"/>
              </w:rPr>
              <w:t xml:space="preserve">Менського району згідно якого встановлюється вартість земель.</w:t>
            </w:r>
            <w:bookmarkEnd w:id="0"/>
            <w:r/>
            <w:r/>
          </w:p>
        </w:tc>
        <w:tc>
          <w:tcPr>
            <w:tcBorders>
              <w:left w:val="single" w:sz="4" w:space="0" w:color="auto"/>
              <w:top w:val="single" w:sz="4" w:space="0" w:color="auto"/>
              <w:right w:val="single" w:sz="4" w:space="0" w:color="auto"/>
              <w:bottom w:val="single" w:sz="4" w:space="0" w:color="auto"/>
            </w:tcBorders>
            <w:tcW w:w="1522" w:type="dxa"/>
            <w:textDirection w:val="lrTb"/>
            <w:noWrap w:val="false"/>
          </w:tcPr>
          <w:p>
            <w:pPr>
              <w:jc w:val="both"/>
              <w:rPr>
                <w:sz w:val="28"/>
                <w:szCs w:val="28"/>
              </w:rPr>
            </w:pPr>
            <w:r>
              <w:rPr>
                <w:sz w:val="28"/>
                <w:szCs w:val="28"/>
              </w:rPr>
              <w:t xml:space="preserve">Вересень</w:t>
            </w:r>
            <w:r>
              <w:rPr>
                <w:sz w:val="28"/>
                <w:szCs w:val="28"/>
              </w:rPr>
              <w:t xml:space="preserve"> – грудень 2019 року</w:t>
            </w:r>
            <w:r/>
          </w:p>
        </w:tc>
        <w:tc>
          <w:tcPr>
            <w:tcBorders>
              <w:left w:val="single" w:sz="4" w:space="0" w:color="auto"/>
              <w:top w:val="single" w:sz="4" w:space="0" w:color="auto"/>
              <w:right w:val="single" w:sz="4" w:space="0" w:color="auto"/>
              <w:bottom w:val="single" w:sz="4" w:space="0" w:color="auto"/>
            </w:tcBorders>
            <w:tcW w:w="1647" w:type="dxa"/>
            <w:textDirection w:val="lrTb"/>
            <w:noWrap w:val="false"/>
          </w:tcPr>
          <w:p>
            <w:pPr>
              <w:jc w:val="both"/>
              <w:rPr>
                <w:sz w:val="28"/>
                <w:szCs w:val="28"/>
              </w:rPr>
            </w:pPr>
            <w:r>
              <w:rPr>
                <w:sz w:val="28"/>
                <w:szCs w:val="28"/>
              </w:rPr>
              <w:t xml:space="preserve">Менська міська рада, відділ земельних відносин</w:t>
            </w:r>
            <w:r/>
          </w:p>
        </w:tc>
      </w:tr>
    </w:tbl>
    <w:p>
      <w:pPr>
        <w:numPr>
          <w:ilvl w:val="0"/>
          <w:numId w:val="5"/>
        </w:numPr>
        <w:ind w:left="0" w:hanging="0"/>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Погодити проект рішення Менської міської ради Про затвердження технічної документації із землеустрою щодо проведення нормативної </w:t>
      </w:r>
      <w:r>
        <w:rPr>
          <w:sz w:val="28"/>
          <w:szCs w:val="28"/>
        </w:rPr>
        <w:t xml:space="preserve">грошової оцінки земель населених пунктів Менської об’єднаної територіальної громади» згідно додатку до даного рішення (додається) та опублікувати вказаний проект з аналізом регуляторного впливу (додається) на сторінці Менської міської ради в мережі Інтернет</w:t>
      </w:r>
      <w:r>
        <w:rPr>
          <w:sz w:val="28"/>
          <w:szCs w:val="28"/>
        </w:rPr>
        <w:t xml:space="preserve">, встановивши місячний строк для подачі пропозицій та зауважень з моменту оприлюднення.</w:t>
      </w:r>
      <w:r/>
    </w:p>
    <w:p>
      <w:pPr>
        <w:numPr>
          <w:ilvl w:val="0"/>
          <w:numId w:val="5"/>
        </w:numPr>
        <w:ind w:left="0" w:hanging="0"/>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Контроль за виконанням рішення покласти на начальника відділу земельних відносин Менської міської ради П.О.Терентієва.</w:t>
      </w:r>
      <w:r/>
    </w:p>
    <w:p>
      <w:pPr>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tabs>
          <w:tab w:val="left" w:pos="6946" w:leader="none"/>
          <w:tab w:val="left" w:pos="7371" w:leader="none"/>
        </w:tabs>
      </w:pPr>
      <w:r>
        <w:rPr>
          <w:b/>
          <w:sz w:val="28"/>
          <w:szCs w:val="28"/>
        </w:rPr>
        <w:t xml:space="preserve">Міський голова</w:t>
      </w:r>
      <w:r>
        <w:rPr>
          <w:b/>
          <w:sz w:val="28"/>
          <w:szCs w:val="28"/>
        </w:rPr>
        <w:tab/>
      </w:r>
      <w:r>
        <w:rPr>
          <w:b/>
          <w:sz w:val="28"/>
          <w:szCs w:val="28"/>
        </w:rPr>
        <w:tab/>
        <w:t xml:space="preserve">Г.А. Примаков</w:t>
      </w:r>
      <w:r/>
    </w:p>
    <w:p>
      <w:pPr>
        <w:jc w:val="both"/>
        <w:rPr>
          <w:sz w:val="28"/>
          <w:szCs w:val="28"/>
        </w:rPr>
        <w:pBdr>
          <w:left w:val="none" w:sz="0" w:space="0" w:color="auto"/>
          <w:top w:val="none" w:sz="0" w:space="0" w:color="auto"/>
          <w:right w:val="none" w:sz="0" w:space="0" w:color="auto"/>
          <w:bottom w:val="none" w:sz="0" w:space="0" w:color="auto"/>
          <w:between w:val="none" w:sz="0" w:space="0" w:color="auto"/>
        </w:pBdr>
      </w:pPr>
      <w:r/>
      <w:bookmarkStart w:id="1" w:name="_GoBack"/>
      <w:r/>
      <w:bookmarkEnd w:id="1"/>
      <w:r/>
      <w:r/>
    </w:p>
    <w:p>
      <w:pPr>
        <w:ind w:left="5670" w:right="-1"/>
        <w:rPr>
          <w:b/>
          <w:sz w:val="24"/>
          <w:szCs w:val="28"/>
        </w:rPr>
      </w:pPr>
      <w:r>
        <w:rPr>
          <w:b/>
          <w:sz w:val="28"/>
          <w:szCs w:val="28"/>
        </w:rPr>
        <w:br w:type="page"/>
      </w:r>
      <w:r>
        <w:rPr>
          <w:b/>
          <w:sz w:val="24"/>
          <w:szCs w:val="28"/>
        </w:rPr>
      </w:r>
      <w:r/>
      <w:r>
        <w:rPr>
          <w:szCs w:val="28"/>
        </w:rPr>
        <w:t xml:space="preserve">Додаток до рішення 3</w:t>
      </w:r>
      <w:r>
        <w:rPr>
          <w:szCs w:val="28"/>
        </w:rPr>
        <w:t xml:space="preserve">5</w:t>
      </w:r>
      <w:r>
        <w:rPr>
          <w:szCs w:val="28"/>
        </w:rPr>
        <w:t xml:space="preserve"> сесії Менської міської ради 7 скликання від 26</w:t>
      </w:r>
      <w:r>
        <w:rPr>
          <w:szCs w:val="28"/>
        </w:rPr>
        <w:t xml:space="preserve">.</w:t>
      </w:r>
      <w:r>
        <w:rPr>
          <w:szCs w:val="28"/>
        </w:rPr>
        <w:t xml:space="preserve">11</w:t>
      </w:r>
      <w:r>
        <w:rPr>
          <w:szCs w:val="28"/>
        </w:rPr>
        <w:t xml:space="preserve">.2019 «Про затвердження технічної документації із землеустрою щодо проведення нормативної грошової оцінки земель» №567</w:t>
      </w:r>
      <w:r/>
    </w:p>
    <w:p>
      <w:pPr>
        <w:jc w:val="center"/>
        <w:rPr>
          <w:b/>
          <w:sz w:val="24"/>
          <w:szCs w:val="28"/>
        </w:rPr>
      </w:pPr>
      <w:r>
        <w:rPr>
          <w:b/>
          <w:sz w:val="24"/>
          <w:szCs w:val="28"/>
        </w:rPr>
      </w:r>
      <w:r/>
    </w:p>
    <w:p>
      <w:pPr>
        <w:jc w:val="center"/>
        <w:rPr>
          <w:b/>
          <w:sz w:val="24"/>
          <w:szCs w:val="28"/>
        </w:rPr>
      </w:pPr>
      <w:r>
        <w:rPr>
          <w:b/>
          <w:sz w:val="28"/>
          <w:lang w:eastAsia="uk-UA"/>
        </w:rPr>
        <mc:AlternateContent>
          <mc:Choice Requires="wpg">
            <w:drawing>
              <wp:inline xmlns:wp="http://schemas.openxmlformats.org/drawingml/2006/wordprocessingDrawing" distT="0" distB="0" distL="0" distR="0">
                <wp:extent cx="518158" cy="739138"/>
                <wp:effectExtent l="0" t="0" r="0" b="0"/>
                <wp:docPr id="2"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2" hidden="0"/>
                        <pic:cNvPicPr>
                          <a:picLocks noChangeAspect="1"/>
                        </pic:cNvPicPr>
                      </pic:nvPicPr>
                      <pic:blipFill>
                        <a:blip r:embed="rId8"/>
                        <a:stretch/>
                      </pic:blipFill>
                      <pic:spPr bwMode="auto">
                        <a:xfrm>
                          <a:off x="0" y="0"/>
                          <a:ext cx="518160" cy="739140"/>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0.8pt;height:58.2pt;">
                <v:path textboxrect="0,0,0,0"/>
                <v:imagedata r:id="rId8" o:title=""/>
              </v:shape>
            </w:pict>
          </mc:Fallback>
        </mc:AlternateContent>
      </w:r>
      <w:r/>
    </w:p>
    <w:p>
      <w:pPr>
        <w:jc w:val="center"/>
        <w:rPr>
          <w:b/>
          <w:sz w:val="24"/>
          <w:szCs w:val="28"/>
        </w:rPr>
      </w:pPr>
      <w:r>
        <w:rPr>
          <w:b/>
          <w:sz w:val="24"/>
          <w:szCs w:val="28"/>
        </w:rPr>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 РАДА</w:t>
      </w:r>
      <w:r/>
    </w:p>
    <w:p>
      <w:pPr>
        <w:pStyle w:val="189"/>
        <w:rPr>
          <w:sz w:val="28"/>
          <w:szCs w:val="28"/>
        </w:rPr>
      </w:pPr>
      <w:r>
        <w:rPr>
          <w:sz w:val="28"/>
          <w:szCs w:val="28"/>
        </w:rPr>
        <w:t xml:space="preserve">Менського району Чернігівської області</w:t>
      </w:r>
      <w:r/>
    </w:p>
    <w:p>
      <w:pPr>
        <w:jc w:val="center"/>
        <w:rPr>
          <w:sz w:val="28"/>
          <w:szCs w:val="28"/>
        </w:rPr>
      </w:pPr>
      <w:r>
        <w:rPr>
          <w:b/>
          <w:color w:val="000000"/>
          <w:sz w:val="28"/>
          <w:szCs w:val="28"/>
        </w:rPr>
        <w:t xml:space="preserve">(</w:t>
      </w:r>
      <w:r>
        <w:rPr>
          <w:b/>
          <w:color w:val="000000"/>
          <w:sz w:val="28"/>
          <w:szCs w:val="28"/>
        </w:rPr>
        <w:t xml:space="preserve">_______________ </w:t>
      </w:r>
      <w:r>
        <w:rPr>
          <w:b/>
          <w:color w:val="000000"/>
          <w:sz w:val="28"/>
          <w:szCs w:val="28"/>
        </w:rPr>
        <w:t xml:space="preserve">сесія сьомого скликання )</w:t>
      </w:r>
      <w:r/>
    </w:p>
    <w:p>
      <w:pPr>
        <w:pStyle w:val="265"/>
        <w:jc w:val="center"/>
        <w:rPr>
          <w:szCs w:val="28"/>
        </w:rPr>
      </w:pPr>
      <w:r>
        <w:rPr>
          <w:szCs w:val="28"/>
        </w:rPr>
        <w:t xml:space="preserve">ПРОЕКТ РІШЕННЯ</w:t>
      </w:r>
      <w:r/>
    </w:p>
    <w:p>
      <w:pPr>
        <w:rPr>
          <w:sz w:val="28"/>
          <w:szCs w:val="28"/>
        </w:rPr>
      </w:pPr>
      <w:r>
        <w:rPr>
          <w:sz w:val="28"/>
          <w:szCs w:val="28"/>
        </w:rPr>
        <w:t xml:space="preserve">_______________ 2019 року</w:t>
      </w:r>
      <w:r>
        <w:rPr>
          <w:sz w:val="28"/>
          <w:szCs w:val="28"/>
        </w:rPr>
        <w:tab/>
      </w:r>
      <w:r>
        <w:rPr>
          <w:sz w:val="28"/>
          <w:szCs w:val="28"/>
        </w:rPr>
        <w:tab/>
      </w:r>
      <w:r>
        <w:rPr>
          <w:sz w:val="28"/>
          <w:szCs w:val="28"/>
        </w:rPr>
        <w:tab/>
        <w:t xml:space="preserve">№ _____</w:t>
      </w:r>
      <w:r/>
    </w:p>
    <w:p>
      <w:pPr>
        <w:rPr>
          <w:sz w:val="28"/>
          <w:szCs w:val="28"/>
        </w:rPr>
      </w:pPr>
      <w:r>
        <w:rPr>
          <w:sz w:val="28"/>
          <w:szCs w:val="28"/>
        </w:rPr>
      </w:r>
      <w:r/>
    </w:p>
    <w:p>
      <w:pPr>
        <w:rPr>
          <w:sz w:val="28"/>
          <w:szCs w:val="28"/>
        </w:rPr>
      </w:pPr>
      <w:r>
        <w:rPr>
          <w:sz w:val="28"/>
          <w:szCs w:val="28"/>
        </w:rPr>
      </w:r>
      <w:r/>
    </w:p>
    <w:p>
      <w:pPr>
        <w:ind w:left="0" w:right="4960" w:hanging="0"/>
        <w:rPr>
          <w:b/>
          <w:sz w:val="28"/>
          <w:szCs w:val="28"/>
        </w:rPr>
      </w:pPr>
      <w:r>
        <w:rPr>
          <w:b/>
          <w:sz w:val="28"/>
          <w:szCs w:val="28"/>
        </w:rPr>
        <w:t xml:space="preserve">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r/>
    </w:p>
    <w:p>
      <w:pPr>
        <w:ind w:left="0" w:right="4960" w:hanging="0"/>
        <w:rPr>
          <w:b/>
          <w:sz w:val="28"/>
          <w:szCs w:val="28"/>
        </w:rPr>
      </w:pPr>
      <w:r>
        <w:rPr>
          <w:b/>
          <w:sz w:val="28"/>
          <w:szCs w:val="28"/>
        </w:rPr>
      </w:r>
      <w:r>
        <w:rPr>
          <w:b/>
          <w:sz w:val="28"/>
          <w:szCs w:val="28"/>
        </w:rPr>
      </w:r>
    </w:p>
    <w:p>
      <w:pPr>
        <w:ind w:firstLine="851"/>
        <w:jc w:val="both"/>
        <w:rPr>
          <w:sz w:val="28"/>
          <w:szCs w:val="28"/>
        </w:rPr>
      </w:pPr>
      <w:r>
        <w:rPr>
          <w:sz w:val="28"/>
          <w:szCs w:val="28"/>
        </w:rPr>
        <w:t xml:space="preserve">Розглянувши технічну документацію по розрахунку нормативної грошової оцінки населених пунктів: </w:t>
      </w:r>
      <w:r>
        <w:rPr>
          <w:sz w:val="28"/>
          <w:szCs w:val="28"/>
        </w:rPr>
        <w:t xml:space="preserve">с. Ушня, с. Дібровка</w:t>
      </w:r>
      <w:r>
        <w:rPr>
          <w:sz w:val="28"/>
          <w:szCs w:val="28"/>
        </w:rPr>
        <w:t xml:space="preserve">, Менського району виготовлену інститутом землеустрою та земельно-правових відносин, керуючись Законом України «Про оцінку земель», та ст. 26 Закону України «Про місцеве самоврядування в Україні» Менська міська рада </w:t>
      </w:r>
      <w:r/>
    </w:p>
    <w:p>
      <w:pPr>
        <w:rPr>
          <w:b/>
          <w:sz w:val="28"/>
          <w:szCs w:val="28"/>
        </w:rPr>
      </w:pPr>
      <w:r>
        <w:rPr>
          <w:b/>
          <w:sz w:val="28"/>
          <w:szCs w:val="28"/>
        </w:rPr>
        <w:t xml:space="preserve">В И Р І Ш И Л А:</w:t>
      </w:r>
      <w:r/>
    </w:p>
    <w:p>
      <w:pPr>
        <w:ind w:firstLine="426"/>
        <w:jc w:val="both"/>
        <w:rPr>
          <w:sz w:val="28"/>
          <w:szCs w:val="28"/>
        </w:rPr>
      </w:pPr>
      <w:r>
        <w:rPr>
          <w:sz w:val="28"/>
          <w:szCs w:val="28"/>
        </w:rPr>
        <w:t xml:space="preserve">1. Затвердити технічну документацію із землеустрою виготовлену інститутом землеустрою та земельно-правових відносин щодо проведення нормативної грошової оцінки земель в межах наступних </w:t>
      </w:r>
      <w:bookmarkStart w:id="2" w:name="_Hlk15993414"/>
      <w:r>
        <w:rPr>
          <w:sz w:val="28"/>
          <w:szCs w:val="28"/>
        </w:rPr>
        <w:t xml:space="preserve">населених пунктів: </w:t>
      </w:r>
      <w:bookmarkStart w:id="3" w:name="_Hlk15994899"/>
      <w:r>
        <w:rPr>
          <w:sz w:val="28"/>
          <w:szCs w:val="28"/>
        </w:rPr>
        <w:t xml:space="preserve">с. Ушня, с. Дібровка</w:t>
      </w:r>
      <w:r>
        <w:rPr>
          <w:sz w:val="28"/>
          <w:szCs w:val="28"/>
        </w:rPr>
        <w:t xml:space="preserve">,</w:t>
      </w:r>
      <w:bookmarkEnd w:id="3"/>
      <w:r>
        <w:rPr>
          <w:sz w:val="28"/>
          <w:szCs w:val="28"/>
        </w:rPr>
        <w:t xml:space="preserve"> Менського району Чернігівської обл.</w:t>
      </w:r>
      <w:bookmarkEnd w:id="2"/>
      <w:r/>
      <w:r/>
    </w:p>
    <w:p>
      <w:pPr>
        <w:ind w:firstLine="426"/>
        <w:jc w:val="both"/>
        <w:rPr>
          <w:sz w:val="28"/>
          <w:szCs w:val="28"/>
        </w:rPr>
      </w:pPr>
      <w:r>
        <w:rPr>
          <w:sz w:val="28"/>
          <w:szCs w:val="28"/>
        </w:rPr>
        <w:t xml:space="preserve">2. Встановити середню базову вартість земель 1м</w:t>
      </w:r>
      <w:r>
        <w:rPr>
          <w:sz w:val="28"/>
          <w:szCs w:val="28"/>
          <w:vertAlign w:val="superscript"/>
        </w:rPr>
        <w:t xml:space="preserve">2</w:t>
      </w:r>
      <w:r>
        <w:rPr>
          <w:sz w:val="28"/>
          <w:szCs w:val="28"/>
        </w:rPr>
        <w:t xml:space="preserve">. обчисленої відповідно до «Порядку нормативної грошової оцінки земель сільськогосподарського призначення та населених пунктів» в межах наступних населених пунктів : с. </w:t>
      </w:r>
      <w:r>
        <w:rPr>
          <w:sz w:val="28"/>
          <w:szCs w:val="28"/>
        </w:rPr>
        <w:t xml:space="preserve">Ушня</w:t>
      </w:r>
      <w:r>
        <w:rPr>
          <w:sz w:val="28"/>
          <w:szCs w:val="28"/>
        </w:rPr>
        <w:t xml:space="preserve"> </w:t>
      </w:r>
      <w:bookmarkStart w:id="4" w:name="_Hlk15995114"/>
      <w:r>
        <w:rPr>
          <w:sz w:val="28"/>
          <w:szCs w:val="28"/>
        </w:rPr>
        <w:t xml:space="preserve">- становить </w:t>
      </w:r>
      <w:bookmarkEnd w:id="4"/>
      <w:r>
        <w:rPr>
          <w:sz w:val="28"/>
          <w:szCs w:val="28"/>
        </w:rPr>
        <w:t xml:space="preserve">40</w:t>
      </w:r>
      <w:r>
        <w:rPr>
          <w:sz w:val="28"/>
          <w:szCs w:val="28"/>
        </w:rPr>
        <w:t xml:space="preserve">,1</w:t>
      </w:r>
      <w:r>
        <w:rPr>
          <w:sz w:val="28"/>
          <w:szCs w:val="28"/>
        </w:rPr>
        <w:t xml:space="preserve">2</w:t>
      </w:r>
      <w:r>
        <w:rPr>
          <w:sz w:val="28"/>
          <w:szCs w:val="28"/>
        </w:rPr>
        <w:t xml:space="preserve"> грн./м</w:t>
      </w:r>
      <w:r>
        <w:rPr>
          <w:sz w:val="28"/>
          <w:szCs w:val="28"/>
          <w:vertAlign w:val="superscript"/>
        </w:rPr>
        <w:t xml:space="preserve">2</w:t>
      </w:r>
      <w:r>
        <w:rPr>
          <w:sz w:val="28"/>
          <w:szCs w:val="28"/>
        </w:rPr>
        <w:t xml:space="preserve">., с. Д</w:t>
      </w:r>
      <w:r>
        <w:rPr>
          <w:sz w:val="28"/>
          <w:szCs w:val="28"/>
        </w:rPr>
        <w:t xml:space="preserve">ібровка</w:t>
      </w:r>
      <w:r>
        <w:rPr>
          <w:sz w:val="28"/>
          <w:szCs w:val="28"/>
        </w:rPr>
        <w:t xml:space="preserve">- становить 29,</w:t>
      </w:r>
      <w:r>
        <w:rPr>
          <w:sz w:val="28"/>
          <w:szCs w:val="28"/>
        </w:rPr>
        <w:t xml:space="preserve">62</w:t>
      </w:r>
      <w:r>
        <w:rPr>
          <w:sz w:val="28"/>
          <w:szCs w:val="28"/>
        </w:rPr>
        <w:t xml:space="preserve"> грн./м</w:t>
      </w:r>
      <w:r>
        <w:rPr>
          <w:sz w:val="28"/>
          <w:szCs w:val="28"/>
          <w:vertAlign w:val="superscript"/>
        </w:rPr>
        <w:t xml:space="preserve">2</w:t>
      </w:r>
      <w:r>
        <w:rPr>
          <w:sz w:val="28"/>
          <w:szCs w:val="28"/>
        </w:rPr>
        <w:t xml:space="preserve">.</w:t>
      </w:r>
      <w:r/>
    </w:p>
    <w:p>
      <w:pPr>
        <w:ind w:firstLine="426"/>
        <w:jc w:val="both"/>
        <w:tabs>
          <w:tab w:val="left" w:pos="1134" w:leader="none"/>
        </w:tabs>
        <w:rPr>
          <w:sz w:val="28"/>
          <w:szCs w:val="28"/>
        </w:rPr>
      </w:pPr>
      <w:r>
        <w:rPr>
          <w:sz w:val="28"/>
          <w:szCs w:val="28"/>
        </w:rPr>
        <w:t xml:space="preserve">3. Запровадити нормативну грошову оцінку земель у термін, визначений законодавством України.</w:t>
      </w:r>
      <w:r/>
    </w:p>
    <w:p>
      <w:pPr>
        <w:ind w:firstLine="708"/>
        <w:jc w:val="both"/>
        <w:rPr>
          <w:sz w:val="28"/>
          <w:szCs w:val="28"/>
        </w:rPr>
      </w:pPr>
      <w:r>
        <w:rPr>
          <w:sz w:val="28"/>
          <w:szCs w:val="28"/>
        </w:rPr>
      </w:r>
      <w:r/>
    </w:p>
    <w:p>
      <w:pPr>
        <w:ind w:firstLine="708"/>
        <w:jc w:val="both"/>
        <w:rPr>
          <w:sz w:val="28"/>
          <w:szCs w:val="28"/>
        </w:rPr>
      </w:pPr>
      <w:r>
        <w:rPr>
          <w:sz w:val="28"/>
          <w:szCs w:val="28"/>
        </w:rPr>
      </w:r>
      <w:r/>
    </w:p>
    <w:p>
      <w:pPr>
        <w:ind w:left="5954"/>
        <w:widowControl w:val="off"/>
        <w:rPr>
          <w:bCs/>
          <w:sz w:val="24"/>
          <w:szCs w:val="24"/>
          <w:lang w:val="ru-RU"/>
        </w:rPr>
      </w:pPr>
      <w:r>
        <w:rPr>
          <w:b/>
          <w:sz w:val="28"/>
          <w:szCs w:val="28"/>
        </w:rPr>
        <w:br w:type="page"/>
      </w:r>
      <w:r/>
    </w:p>
    <w:p>
      <w:pPr>
        <w:ind w:right="450"/>
        <w:jc w:val="center"/>
        <w:rPr>
          <w:b/>
          <w:bCs/>
          <w:sz w:val="24"/>
          <w:szCs w:val="24"/>
          <w:lang w:val="ru-RU"/>
        </w:rPr>
      </w:pPr>
      <w:r>
        <w:rPr>
          <w:b/>
          <w:bCs/>
          <w:sz w:val="24"/>
          <w:szCs w:val="24"/>
          <w:lang w:val="ru-RU"/>
        </w:rPr>
        <w:t xml:space="preserve">АНАЛІЗ РЕГУЛЯТОРНОГО ВПЛИВУ</w:t>
      </w:r>
      <w:r/>
    </w:p>
    <w:p>
      <w:pPr>
        <w:pStyle w:val="271"/>
        <w:jc w:val="center"/>
        <w:spacing w:after="0" w:afterAutospacing="0" w:before="0" w:beforeAutospacing="0"/>
        <w:widowControl w:val="off"/>
        <w:rPr>
          <w:rStyle w:val="262"/>
          <w:b/>
          <w:bCs/>
          <w:shd w:val="clear" w:color="auto" w:fill="FFFFFF"/>
          <w:lang w:val="uk-UA"/>
        </w:rPr>
      </w:pPr>
      <w:r>
        <w:rPr>
          <w:rStyle w:val="269"/>
          <w:bCs w:val="false"/>
          <w:shd w:val="clear" w:color="auto" w:fill="FFFFFF"/>
        </w:rPr>
        <w:t xml:space="preserve">проекту рішення Менської міської ради</w:t>
      </w:r>
      <w:r/>
    </w:p>
    <w:p>
      <w:pPr>
        <w:ind w:left="450" w:right="450"/>
        <w:jc w:val="center"/>
        <w:rPr>
          <w:b/>
          <w:bCs/>
          <w:sz w:val="24"/>
          <w:szCs w:val="24"/>
        </w:rPr>
      </w:pPr>
      <w:r>
        <w:rPr>
          <w:b/>
          <w:bCs/>
          <w:sz w:val="24"/>
          <w:szCs w:val="24"/>
        </w:rPr>
        <w:t xml:space="preserve">«Про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r/>
    </w:p>
    <w:p>
      <w:pPr>
        <w:pStyle w:val="271"/>
        <w:ind w:firstLine="540"/>
        <w:jc w:val="center"/>
        <w:spacing w:after="0" w:afterAutospacing="0" w:before="0" w:beforeAutospacing="0"/>
        <w:widowControl w:val="off"/>
        <w:rPr>
          <w:rStyle w:val="269"/>
          <w:shd w:val="clear" w:color="auto" w:fill="FFFFFF"/>
          <w:lang w:val="uk-UA"/>
        </w:rPr>
      </w:pPr>
      <w:r>
        <w:rPr>
          <w:shd w:val="clear" w:color="auto" w:fill="FFFFFF"/>
          <w:lang w:val="uk-UA"/>
        </w:rPr>
      </w:r>
      <w:r/>
    </w:p>
    <w:p>
      <w:pPr>
        <w:pStyle w:val="271"/>
        <w:ind w:firstLine="540"/>
        <w:jc w:val="both"/>
        <w:spacing w:after="0" w:afterAutospacing="0" w:before="0" w:beforeAutospacing="0"/>
        <w:widowControl w:val="off"/>
        <w:rPr>
          <w:rStyle w:val="276"/>
          <w:lang w:val="uk-UA"/>
        </w:rPr>
      </w:pPr>
      <w:r>
        <w:rPr>
          <w:rStyle w:val="269"/>
          <w:shd w:val="clear" w:color="auto" w:fill="FFFFFF"/>
          <w:lang w:val="uk-UA"/>
        </w:rPr>
        <w:t xml:space="preserve"> </w:t>
      </w:r>
      <w:r>
        <w:rPr>
          <w:rStyle w:val="276"/>
        </w:rPr>
        <w:t xml:space="preserve">Відповідно до статті 18 Закону України «Про оцінку земель» нормативна грошова оцінка земельних ділянок проводиться відповідно до державних стандартів, норм, правил,</w:t>
      </w:r>
      <w:r>
        <w:rPr>
          <w:rStyle w:val="276"/>
          <w:lang w:val="uk-UA"/>
        </w:rPr>
        <w:t xml:space="preserve"> </w:t>
      </w:r>
      <w:r>
        <w:rPr>
          <w:rStyle w:val="276"/>
        </w:rPr>
        <w:t xml:space="preserve">а також інших нормативно-правових актів на землях усіх категорій та форм власності. </w:t>
      </w:r>
      <w:r/>
    </w:p>
    <w:p>
      <w:pPr>
        <w:pStyle w:val="275"/>
        <w:ind w:firstLine="567"/>
        <w:jc w:val="both"/>
        <w:rPr>
          <w:rStyle w:val="276"/>
          <w:rFonts w:ascii="Times New Roman" w:hAnsi="Times New Roman"/>
          <w:sz w:val="24"/>
          <w:szCs w:val="24"/>
        </w:rPr>
      </w:pPr>
      <w:r>
        <w:rPr>
          <w:rStyle w:val="276"/>
          <w:rFonts w:ascii="Times New Roman" w:hAnsi="Times New Roman"/>
          <w:sz w:val="24"/>
          <w:szCs w:val="24"/>
        </w:rPr>
        <w:t xml:space="preserve">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w:t>
      </w:r>
      <w:r>
        <w:rPr>
          <w:rStyle w:val="276"/>
          <w:rFonts w:ascii="Times New Roman" w:hAnsi="Times New Roman"/>
          <w:sz w:val="24"/>
          <w:szCs w:val="24"/>
          <w:lang w:val="uk-UA"/>
        </w:rPr>
        <w:t xml:space="preserve"> </w:t>
      </w:r>
      <w:r>
        <w:rPr>
          <w:rStyle w:val="276"/>
          <w:rFonts w:ascii="Times New Roman" w:hAnsi="Times New Roman"/>
          <w:sz w:val="24"/>
          <w:szCs w:val="24"/>
        </w:rPr>
        <w:t xml:space="preserve">на 5 - 7 років. </w:t>
      </w:r>
      <w:r/>
    </w:p>
    <w:p>
      <w:pPr>
        <w:pStyle w:val="275"/>
        <w:ind w:firstLine="567"/>
        <w:jc w:val="both"/>
        <w:rPr>
          <w:rStyle w:val="276"/>
          <w:rFonts w:ascii="Times New Roman" w:hAnsi="Times New Roman"/>
          <w:sz w:val="24"/>
          <w:szCs w:val="24"/>
        </w:rPr>
      </w:pPr>
      <w:r>
        <w:rPr>
          <w:rStyle w:val="276"/>
          <w:rFonts w:ascii="Times New Roman" w:hAnsi="Times New Roman"/>
          <w:sz w:val="24"/>
          <w:szCs w:val="24"/>
        </w:rPr>
        <w:t xml:space="preserve">Відповідно до пункту 271.2. статті 271 Податкового кодексу України,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w:t>
      </w:r>
      <w:r>
        <w:rPr>
          <w:rFonts w:ascii="Times New Roman" w:hAnsi="Times New Roman"/>
          <w:sz w:val="24"/>
          <w:szCs w:val="24"/>
        </w:rPr>
        <w:t xml:space="preserve">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w:t>
      </w:r>
      <w:r>
        <w:rPr>
          <w:rStyle w:val="276"/>
          <w:rFonts w:ascii="Times New Roman" w:hAnsi="Times New Roman"/>
          <w:sz w:val="24"/>
          <w:szCs w:val="24"/>
          <w:lang w:val="uk-UA"/>
        </w:rPr>
        <w:t xml:space="preserve"> </w:t>
      </w:r>
      <w:r>
        <w:rPr>
          <w:rStyle w:val="276"/>
          <w:rFonts w:ascii="Times New Roman" w:hAnsi="Times New Roman"/>
          <w:sz w:val="24"/>
          <w:szCs w:val="24"/>
        </w:rPr>
        <w:t xml:space="preserve">за плановим періодом.</w:t>
      </w:r>
      <w:r/>
    </w:p>
    <w:p>
      <w:pPr>
        <w:ind w:firstLine="567"/>
        <w:jc w:val="both"/>
        <w:rPr>
          <w:rStyle w:val="276"/>
          <w:sz w:val="24"/>
          <w:szCs w:val="24"/>
        </w:rPr>
      </w:pPr>
      <w:r>
        <w:rPr>
          <w:rStyle w:val="276"/>
          <w:sz w:val="24"/>
          <w:szCs w:val="24"/>
        </w:rPr>
        <w:t xml:space="preserve">Для введення в дію з 01.01.2019 року нормативної грошової оцінки, відповідно до вимог статі 271 Податкового кодексу України, необхідно провести регуляторну процедуру.</w:t>
      </w:r>
      <w:r/>
    </w:p>
    <w:p>
      <w:pPr>
        <w:ind w:left="2552" w:hanging="2550"/>
        <w:jc w:val="both"/>
        <w:spacing w:after="100" w:before="100"/>
        <w:rPr>
          <w:lang w:val="ru-RU" w:eastAsia="zh-CN"/>
        </w:rPr>
      </w:pPr>
      <w:r>
        <w:rPr>
          <w:b/>
          <w:sz w:val="24"/>
          <w:szCs w:val="24"/>
          <w:lang w:eastAsia="zh-CN"/>
        </w:rPr>
        <w:t xml:space="preserve">Розробник документа:</w:t>
      </w:r>
      <w:r>
        <w:rPr>
          <w:sz w:val="24"/>
          <w:szCs w:val="24"/>
          <w:lang w:eastAsia="zh-CN"/>
        </w:rPr>
        <w:t xml:space="preserve"> відділ земельних відносин Менської міської ради.</w:t>
      </w:r>
      <w:r/>
    </w:p>
    <w:p>
      <w:pPr>
        <w:jc w:val="both"/>
        <w:spacing w:after="100" w:before="100"/>
        <w:rPr>
          <w:lang w:val="ru-RU" w:eastAsia="zh-CN"/>
        </w:rPr>
      </w:pPr>
      <w:r>
        <w:rPr>
          <w:b/>
          <w:sz w:val="24"/>
          <w:szCs w:val="24"/>
          <w:lang w:eastAsia="zh-CN"/>
        </w:rPr>
        <w:t xml:space="preserve">Відповідальні особа:</w:t>
      </w:r>
      <w:r>
        <w:rPr>
          <w:sz w:val="24"/>
          <w:szCs w:val="24"/>
          <w:lang w:eastAsia="zh-CN"/>
        </w:rPr>
        <w:t xml:space="preserve"> Дорошенко Ю.О.</w:t>
      </w:r>
      <w:r/>
    </w:p>
    <w:p>
      <w:pPr>
        <w:ind w:right="450"/>
        <w:jc w:val="center"/>
        <w:rPr>
          <w:b/>
          <w:bCs/>
          <w:sz w:val="24"/>
          <w:szCs w:val="24"/>
          <w:lang w:val="ru-RU"/>
        </w:rPr>
      </w:pPr>
      <w:r/>
      <w:bookmarkStart w:id="5" w:name="n25"/>
      <w:r/>
      <w:bookmarkEnd w:id="5"/>
      <w:r>
        <w:rPr>
          <w:b/>
          <w:bCs/>
          <w:sz w:val="24"/>
          <w:szCs w:val="24"/>
          <w:lang w:val="ru-RU"/>
        </w:rPr>
        <w:t xml:space="preserve">І. Визначення проблеми</w:t>
      </w:r>
      <w:r/>
    </w:p>
    <w:p>
      <w:pPr>
        <w:ind w:firstLine="540"/>
        <w:jc w:val="both"/>
        <w:rPr>
          <w:rStyle w:val="276"/>
          <w:sz w:val="24"/>
          <w:szCs w:val="24"/>
        </w:rPr>
      </w:pPr>
      <w:r>
        <w:rPr>
          <w:rStyle w:val="276"/>
          <w:sz w:val="24"/>
          <w:szCs w:val="24"/>
        </w:rPr>
        <w:t xml:space="preserve">Відповідно до статті 206 Земельного кодексу України використання землі в Україні   є платним. Об’єктом плати за землю є земельна ділянка. Плата за землю справляється   у вигляді земельного податку або орендної плати, які обчислюються на підставі нормативної</w:t>
      </w:r>
      <w:r>
        <w:rPr>
          <w:sz w:val="24"/>
          <w:szCs w:val="24"/>
        </w:rPr>
        <w:t xml:space="preserve"> грошової оцінки земель.</w:t>
      </w:r>
      <w:r/>
    </w:p>
    <w:p>
      <w:pPr>
        <w:ind w:firstLine="540"/>
        <w:jc w:val="both"/>
        <w:rPr>
          <w:rStyle w:val="276"/>
          <w:sz w:val="24"/>
          <w:szCs w:val="24"/>
        </w:rPr>
      </w:pPr>
      <w:r>
        <w:rPr>
          <w:rStyle w:val="276"/>
          <w:sz w:val="24"/>
          <w:szCs w:val="24"/>
        </w:rPr>
        <w:t xml:space="preserve">Згідно зі статтею 201 Податкового кодексу України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w:t>
      </w:r>
      <w:r>
        <w:rPr>
          <w:sz w:val="24"/>
          <w:szCs w:val="24"/>
        </w:rPr>
        <w:t xml:space="preserve">використання та охорони земель тощо.</w:t>
      </w:r>
      <w:r/>
    </w:p>
    <w:p>
      <w:pPr>
        <w:ind w:firstLine="540"/>
        <w:jc w:val="both"/>
        <w:shd w:val="clear" w:color="auto" w:fill="FFFFFF"/>
        <w:rPr>
          <w:rStyle w:val="276"/>
          <w:sz w:val="24"/>
          <w:szCs w:val="24"/>
        </w:rPr>
      </w:pPr>
      <w:r>
        <w:rPr>
          <w:rStyle w:val="276"/>
          <w:sz w:val="24"/>
          <w:szCs w:val="24"/>
        </w:rPr>
        <w:t xml:space="preserve">Статтею 5 Закону України «Про оцінку земель» також передбачено, що нормативна грошова оцінка земельних ділянок використовується для:</w:t>
      </w:r>
      <w:r/>
    </w:p>
    <w:p>
      <w:pPr>
        <w:numPr>
          <w:ilvl w:val="0"/>
          <w:numId w:val="4"/>
        </w:numPr>
        <w:ind w:left="0" w:firstLine="540"/>
        <w:jc w:val="both"/>
        <w:shd w:val="clear" w:color="auto" w:fill="FFFFFF"/>
        <w:rPr>
          <w:rStyle w:val="276"/>
          <w:sz w:val="24"/>
          <w:szCs w:val="24"/>
        </w:rPr>
      </w:pPr>
      <w:r>
        <w:rPr>
          <w:rStyle w:val="276"/>
          <w:sz w:val="24"/>
          <w:szCs w:val="24"/>
        </w:rPr>
        <w:t xml:space="preserve">визначення розміру земельного податку;</w:t>
      </w:r>
      <w:r/>
    </w:p>
    <w:p>
      <w:pPr>
        <w:numPr>
          <w:ilvl w:val="0"/>
          <w:numId w:val="4"/>
        </w:numPr>
        <w:ind w:left="0" w:firstLine="540"/>
        <w:jc w:val="both"/>
        <w:shd w:val="clear" w:color="auto" w:fill="FFFFFF"/>
        <w:rPr>
          <w:rStyle w:val="276"/>
          <w:sz w:val="24"/>
          <w:szCs w:val="24"/>
        </w:rPr>
      </w:pPr>
      <w:r>
        <w:rPr>
          <w:rStyle w:val="276"/>
          <w:sz w:val="24"/>
          <w:szCs w:val="24"/>
        </w:rPr>
        <w:t xml:space="preserve">визначення розміру орендної плати за земельні ділянки державної та комунальної власності;</w:t>
      </w:r>
      <w:r/>
    </w:p>
    <w:p>
      <w:pPr>
        <w:numPr>
          <w:ilvl w:val="0"/>
          <w:numId w:val="4"/>
        </w:numPr>
        <w:ind w:left="0" w:firstLine="540"/>
        <w:jc w:val="both"/>
        <w:shd w:val="clear" w:color="auto" w:fill="FFFFFF"/>
        <w:rPr>
          <w:rStyle w:val="276"/>
          <w:sz w:val="24"/>
          <w:szCs w:val="24"/>
        </w:rPr>
      </w:pPr>
      <w:r>
        <w:rPr>
          <w:rStyle w:val="276"/>
          <w:sz w:val="24"/>
          <w:szCs w:val="24"/>
        </w:rPr>
        <w:t xml:space="preserve">визначення розміру державного мита при міні;  </w:t>
      </w:r>
      <w:r/>
    </w:p>
    <w:p>
      <w:pPr>
        <w:numPr>
          <w:ilvl w:val="0"/>
          <w:numId w:val="4"/>
        </w:numPr>
        <w:ind w:left="0" w:firstLine="540"/>
        <w:jc w:val="both"/>
        <w:shd w:val="clear" w:color="auto" w:fill="FFFFFF"/>
        <w:rPr>
          <w:rStyle w:val="276"/>
          <w:sz w:val="24"/>
          <w:szCs w:val="24"/>
        </w:rPr>
      </w:pPr>
      <w:r>
        <w:rPr>
          <w:rStyle w:val="276"/>
          <w:sz w:val="24"/>
          <w:szCs w:val="24"/>
        </w:rPr>
        <w:t xml:space="preserve">визначення  розміру  державного мита при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w:t>
      </w:r>
      <w:r>
        <w:rPr>
          <w:sz w:val="24"/>
          <w:szCs w:val="24"/>
        </w:rPr>
        <w:t xml:space="preserve">дків спадкування власності, вартість якої оподатковується за нульовою ставкою); </w:t>
      </w:r>
      <w:r/>
    </w:p>
    <w:p>
      <w:pPr>
        <w:numPr>
          <w:ilvl w:val="0"/>
          <w:numId w:val="4"/>
        </w:numPr>
        <w:ind w:left="0" w:firstLine="540"/>
        <w:jc w:val="both"/>
        <w:shd w:val="clear" w:color="auto" w:fill="FFFFFF"/>
        <w:rPr>
          <w:rStyle w:val="276"/>
          <w:sz w:val="24"/>
          <w:szCs w:val="24"/>
        </w:rPr>
      </w:pPr>
      <w:r>
        <w:rPr>
          <w:rStyle w:val="276"/>
          <w:sz w:val="24"/>
          <w:szCs w:val="24"/>
        </w:rPr>
        <w:t xml:space="preserve">визначення розміру державного мита при даруванні земельних ділянок; </w:t>
      </w:r>
      <w:r/>
    </w:p>
    <w:p>
      <w:pPr>
        <w:numPr>
          <w:ilvl w:val="0"/>
          <w:numId w:val="4"/>
        </w:numPr>
        <w:ind w:left="0" w:firstLine="540"/>
        <w:jc w:val="both"/>
        <w:shd w:val="clear" w:color="auto" w:fill="FFFFFF"/>
        <w:rPr>
          <w:rStyle w:val="276"/>
          <w:sz w:val="24"/>
          <w:szCs w:val="24"/>
        </w:rPr>
      </w:pPr>
      <w:r>
        <w:rPr>
          <w:rStyle w:val="276"/>
          <w:sz w:val="24"/>
          <w:szCs w:val="24"/>
        </w:rPr>
        <w:t xml:space="preserve">визначення  втрат сільськогосподарського і лісогосподарського  виробництва;</w:t>
      </w:r>
      <w:r/>
    </w:p>
    <w:p>
      <w:pPr>
        <w:numPr>
          <w:ilvl w:val="0"/>
          <w:numId w:val="4"/>
        </w:numPr>
        <w:ind w:left="0" w:firstLine="540"/>
        <w:jc w:val="both"/>
        <w:shd w:val="clear" w:color="auto" w:fill="FFFFFF"/>
        <w:rPr>
          <w:rStyle w:val="276"/>
          <w:sz w:val="24"/>
          <w:szCs w:val="24"/>
        </w:rPr>
      </w:pPr>
      <w:r>
        <w:rPr>
          <w:rStyle w:val="276"/>
          <w:sz w:val="24"/>
          <w:szCs w:val="24"/>
        </w:rPr>
        <w:t xml:space="preserve">визначення вартості земельних ділянок площею понад 50 гектарів для розміщення відкритих спортивних і фізкультурно-оздоровчих споруд;</w:t>
      </w:r>
      <w:r/>
    </w:p>
    <w:p>
      <w:pPr>
        <w:numPr>
          <w:ilvl w:val="0"/>
          <w:numId w:val="4"/>
        </w:numPr>
        <w:ind w:left="0" w:firstLine="540"/>
        <w:jc w:val="both"/>
        <w:shd w:val="clear" w:color="auto" w:fill="FFFFFF"/>
        <w:rPr>
          <w:rStyle w:val="276"/>
          <w:sz w:val="24"/>
          <w:szCs w:val="24"/>
        </w:rPr>
      </w:pPr>
      <w:r>
        <w:rPr>
          <w:rStyle w:val="276"/>
          <w:sz w:val="24"/>
          <w:szCs w:val="24"/>
        </w:rPr>
        <w:t xml:space="preserve">розробки показників та механізмів економічного стимулювання раціонального використання та охорони земель.</w:t>
      </w:r>
      <w:r/>
    </w:p>
    <w:p>
      <w:pPr>
        <w:ind w:firstLine="540"/>
        <w:jc w:val="both"/>
        <w:rPr>
          <w:rStyle w:val="276"/>
          <w:sz w:val="24"/>
          <w:szCs w:val="24"/>
        </w:rPr>
      </w:pPr>
      <w:r>
        <w:rPr>
          <w:rStyle w:val="276"/>
          <w:sz w:val="24"/>
          <w:szCs w:val="24"/>
        </w:rPr>
        <w:t xml:space="preserve">Пунктами 274.1 та 274.2 статті 274 Податкового кодексу України визначають імперативний порядок визначення ставок земельного податку у відсотковому значенні   від нормативної грошової оцінки землі. </w:t>
      </w:r>
      <w:r/>
    </w:p>
    <w:p>
      <w:pPr>
        <w:pStyle w:val="270"/>
        <w:ind w:firstLine="540"/>
        <w:jc w:val="both"/>
        <w:spacing w:after="0" w:afterAutospacing="0" w:before="0" w:beforeAutospacing="0"/>
        <w:shd w:val="clear" w:color="auto" w:fill="FFFFFF"/>
        <w:rPr>
          <w:rStyle w:val="276"/>
        </w:rPr>
      </w:pPr>
      <w:r>
        <w:rPr>
          <w:rStyle w:val="276"/>
        </w:rPr>
        <w:t xml:space="preserve">Пункт 288.5 статті 288 Податкового кодексу України також визначає необхідність обчислення мінімального розміру орендної плати за користування земельними ділянками   із використанням результатів нормативної грошової оцінки землі.</w:t>
      </w:r>
      <w:r/>
    </w:p>
    <w:p>
      <w:pPr>
        <w:pStyle w:val="270"/>
        <w:ind w:firstLine="540"/>
        <w:jc w:val="both"/>
        <w:spacing w:after="0" w:afterAutospacing="0" w:before="0" w:beforeAutospacing="0"/>
        <w:shd w:val="clear" w:color="auto" w:fill="FFFFFF"/>
        <w:rPr>
          <w:rStyle w:val="276"/>
        </w:rPr>
      </w:pPr>
      <w:r>
        <w:rPr>
          <w:rStyle w:val="276"/>
        </w:rPr>
        <w:t xml:space="preserve">При цьому слід зауважити, що податкове законодавство України взагалі не визначає механізму встановлення розміру земельного податку чи обчислення плати за землю   на території населених пунктів без використання нормативної грошової оцінки земель.  </w:t>
      </w:r>
      <w:r/>
    </w:p>
    <w:p>
      <w:pPr>
        <w:pStyle w:val="270"/>
        <w:ind w:firstLine="540"/>
        <w:jc w:val="both"/>
        <w:spacing w:after="0" w:afterAutospacing="0" w:before="0" w:beforeAutospacing="0"/>
        <w:shd w:val="clear" w:color="auto" w:fill="FFFFFF"/>
        <w:rPr>
          <w:rStyle w:val="276"/>
        </w:rPr>
      </w:pPr>
      <w:r>
        <w:rPr>
          <w:rStyle w:val="276"/>
        </w:rPr>
        <w:t xml:space="preserve">Аналогічна ситуація може скластись у випадках необхідності обчислення розміру державного мита при посвідченні міни, спадкування, дарування тощо земельних ділянок,  що ускладнить реалізацію прав розпорядження власниками належними їм земельними ділянками.  </w:t>
      </w:r>
      <w:r/>
    </w:p>
    <w:p>
      <w:pPr>
        <w:ind w:firstLine="540"/>
        <w:jc w:val="both"/>
        <w:rPr>
          <w:rStyle w:val="276"/>
          <w:sz w:val="24"/>
          <w:szCs w:val="24"/>
        </w:rPr>
      </w:pPr>
      <w:r>
        <w:rPr>
          <w:rStyle w:val="276"/>
          <w:sz w:val="24"/>
          <w:szCs w:val="24"/>
        </w:rPr>
        <w:t xml:space="preserve">Таким чином, прийняття Менською міською радою рішення про затвердження матеріалів нормативної грошової оцінки земель спрямовано на розв’язання проблем, зокрема, пов’язаних з необхідністю визначення ставок та обчислення земельного податку, правильне визначен</w:t>
      </w:r>
      <w:r>
        <w:rPr>
          <w:sz w:val="24"/>
          <w:szCs w:val="24"/>
        </w:rPr>
        <w:t xml:space="preserve">ня розмірів орендної плати, державного мита, забезпечення проведення оцінки майна та майнових прав у відповідності до встановлених </w:t>
      </w:r>
      <w:r>
        <w:rPr>
          <w:rStyle w:val="276"/>
          <w:sz w:val="24"/>
          <w:szCs w:val="24"/>
        </w:rPr>
        <w:t xml:space="preserve">методик та національних стандартів у сфері оцінки. </w:t>
      </w:r>
      <w:r/>
    </w:p>
    <w:p>
      <w:pPr>
        <w:ind w:firstLine="450"/>
        <w:jc w:val="both"/>
        <w:rPr>
          <w:rStyle w:val="276"/>
          <w:sz w:val="24"/>
          <w:szCs w:val="24"/>
        </w:rPr>
      </w:pPr>
      <w:r>
        <w:rPr>
          <w:rStyle w:val="276"/>
          <w:sz w:val="24"/>
          <w:szCs w:val="24"/>
        </w:rPr>
        <w:t xml:space="preserve">Основні групи (підгрупи), на які проблема справляє вплив:</w:t>
      </w:r>
      <w:r/>
    </w:p>
    <w:p>
      <w:pPr>
        <w:ind w:firstLine="450"/>
        <w:jc w:val="both"/>
        <w:rPr>
          <w:rStyle w:val="276"/>
          <w:sz w:val="24"/>
          <w:szCs w:val="24"/>
        </w:rPr>
      </w:pPr>
      <w:r>
        <w:rPr>
          <w:sz w:val="24"/>
          <w:szCs w:val="24"/>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3237"/>
        <w:gridCol w:w="3063"/>
        <w:gridCol w:w="3044"/>
      </w:tblGrid>
      <w:tr>
        <w:trPr/>
        <w:tc>
          <w:tcPr>
            <w:tcW w:w="3344" w:type="dxa"/>
            <w:textDirection w:val="lrTb"/>
            <w:noWrap w:val="false"/>
          </w:tcPr>
          <w:p>
            <w:pPr>
              <w:jc w:val="center"/>
              <w:rPr>
                <w:rStyle w:val="276"/>
                <w:b/>
                <w:sz w:val="24"/>
                <w:szCs w:val="24"/>
              </w:rPr>
            </w:pPr>
            <w:r>
              <w:rPr>
                <w:rStyle w:val="276"/>
                <w:b/>
                <w:sz w:val="24"/>
                <w:szCs w:val="24"/>
              </w:rPr>
              <w:t xml:space="preserve">Групи (підгрупи)</w:t>
            </w:r>
            <w:r/>
          </w:p>
        </w:tc>
        <w:tc>
          <w:tcPr>
            <w:tcW w:w="3259" w:type="dxa"/>
            <w:textDirection w:val="lrTb"/>
            <w:noWrap w:val="false"/>
          </w:tcPr>
          <w:p>
            <w:pPr>
              <w:jc w:val="center"/>
              <w:rPr>
                <w:rStyle w:val="276"/>
                <w:b/>
                <w:sz w:val="24"/>
                <w:szCs w:val="24"/>
              </w:rPr>
            </w:pPr>
            <w:r>
              <w:rPr>
                <w:rStyle w:val="276"/>
                <w:b/>
                <w:sz w:val="24"/>
                <w:szCs w:val="24"/>
              </w:rPr>
              <w:t xml:space="preserve">Так</w:t>
            </w:r>
            <w:r/>
          </w:p>
        </w:tc>
        <w:tc>
          <w:tcPr>
            <w:tcW w:w="3251" w:type="dxa"/>
            <w:textDirection w:val="lrTb"/>
            <w:noWrap w:val="false"/>
          </w:tcPr>
          <w:p>
            <w:pPr>
              <w:jc w:val="center"/>
              <w:rPr>
                <w:rStyle w:val="276"/>
                <w:b/>
                <w:sz w:val="24"/>
                <w:szCs w:val="24"/>
              </w:rPr>
            </w:pPr>
            <w:r>
              <w:rPr>
                <w:rStyle w:val="276"/>
                <w:b/>
                <w:sz w:val="24"/>
                <w:szCs w:val="24"/>
              </w:rPr>
              <w:t xml:space="preserve">Ні</w:t>
            </w:r>
            <w:r/>
          </w:p>
        </w:tc>
      </w:tr>
      <w:tr>
        <w:trPr/>
        <w:tc>
          <w:tcPr>
            <w:tcW w:w="3344" w:type="dxa"/>
            <w:textDirection w:val="lrTb"/>
            <w:noWrap w:val="false"/>
          </w:tcPr>
          <w:p>
            <w:pPr>
              <w:jc w:val="both"/>
              <w:rPr>
                <w:rStyle w:val="276"/>
                <w:sz w:val="24"/>
                <w:szCs w:val="24"/>
              </w:rPr>
            </w:pPr>
            <w:r>
              <w:rPr>
                <w:rStyle w:val="276"/>
                <w:sz w:val="24"/>
                <w:szCs w:val="24"/>
              </w:rPr>
              <w:t xml:space="preserve">Громадяни</w:t>
            </w:r>
            <w:r/>
          </w:p>
        </w:tc>
        <w:tc>
          <w:tcPr>
            <w:tcW w:w="3259" w:type="dxa"/>
            <w:textDirection w:val="lrTb"/>
            <w:noWrap w:val="false"/>
          </w:tcPr>
          <w:p>
            <w:pPr>
              <w:jc w:val="center"/>
              <w:rPr>
                <w:rStyle w:val="276"/>
                <w:sz w:val="24"/>
                <w:szCs w:val="24"/>
              </w:rPr>
            </w:pPr>
            <w:r>
              <w:rPr>
                <w:rStyle w:val="276"/>
                <w:sz w:val="24"/>
                <w:szCs w:val="24"/>
              </w:rPr>
              <w:t xml:space="preserve">+</w:t>
            </w:r>
            <w:r/>
          </w:p>
        </w:tc>
        <w:tc>
          <w:tcPr>
            <w:tcW w:w="3251" w:type="dxa"/>
            <w:textDirection w:val="lrTb"/>
            <w:noWrap w:val="false"/>
          </w:tcPr>
          <w:p>
            <w:pPr>
              <w:jc w:val="center"/>
              <w:rPr>
                <w:rStyle w:val="276"/>
                <w:sz w:val="24"/>
                <w:szCs w:val="24"/>
              </w:rPr>
            </w:pPr>
            <w:r>
              <w:rPr>
                <w:rStyle w:val="276"/>
                <w:sz w:val="24"/>
                <w:szCs w:val="24"/>
              </w:rPr>
              <w:t xml:space="preserve">-</w:t>
            </w:r>
            <w:r/>
          </w:p>
        </w:tc>
      </w:tr>
      <w:tr>
        <w:trPr/>
        <w:tc>
          <w:tcPr>
            <w:tcW w:w="3344" w:type="dxa"/>
            <w:textDirection w:val="lrTb"/>
            <w:noWrap w:val="false"/>
          </w:tcPr>
          <w:p>
            <w:pPr>
              <w:jc w:val="both"/>
              <w:rPr>
                <w:rStyle w:val="276"/>
                <w:sz w:val="24"/>
                <w:szCs w:val="24"/>
              </w:rPr>
            </w:pPr>
            <w:r>
              <w:rPr>
                <w:rStyle w:val="276"/>
                <w:sz w:val="24"/>
                <w:szCs w:val="24"/>
              </w:rPr>
              <w:t xml:space="preserve">Держава</w:t>
            </w:r>
            <w:r/>
          </w:p>
        </w:tc>
        <w:tc>
          <w:tcPr>
            <w:tcW w:w="3259" w:type="dxa"/>
            <w:textDirection w:val="lrTb"/>
            <w:noWrap w:val="false"/>
          </w:tcPr>
          <w:p>
            <w:pPr>
              <w:jc w:val="center"/>
              <w:rPr>
                <w:rStyle w:val="276"/>
                <w:sz w:val="24"/>
                <w:szCs w:val="24"/>
              </w:rPr>
            </w:pPr>
            <w:r>
              <w:rPr>
                <w:rStyle w:val="276"/>
                <w:sz w:val="24"/>
                <w:szCs w:val="24"/>
              </w:rPr>
              <w:t xml:space="preserve">+</w:t>
            </w:r>
            <w:r/>
          </w:p>
        </w:tc>
        <w:tc>
          <w:tcPr>
            <w:tcW w:w="3251" w:type="dxa"/>
            <w:textDirection w:val="lrTb"/>
            <w:noWrap w:val="false"/>
          </w:tcPr>
          <w:p>
            <w:pPr>
              <w:jc w:val="center"/>
              <w:rPr>
                <w:rStyle w:val="276"/>
                <w:sz w:val="24"/>
                <w:szCs w:val="24"/>
              </w:rPr>
            </w:pPr>
            <w:r>
              <w:rPr>
                <w:rStyle w:val="276"/>
                <w:sz w:val="24"/>
                <w:szCs w:val="24"/>
              </w:rPr>
              <w:t xml:space="preserve">-</w:t>
            </w:r>
            <w:r/>
          </w:p>
        </w:tc>
      </w:tr>
      <w:tr>
        <w:trPr/>
        <w:tc>
          <w:tcPr>
            <w:tcW w:w="3344" w:type="dxa"/>
            <w:textDirection w:val="lrTb"/>
            <w:noWrap w:val="false"/>
          </w:tcPr>
          <w:p>
            <w:pPr>
              <w:jc w:val="both"/>
              <w:rPr>
                <w:rStyle w:val="276"/>
                <w:sz w:val="24"/>
                <w:szCs w:val="24"/>
              </w:rPr>
            </w:pPr>
            <w:r>
              <w:rPr>
                <w:rStyle w:val="276"/>
                <w:sz w:val="24"/>
                <w:szCs w:val="24"/>
              </w:rPr>
              <w:t xml:space="preserve">Суб’єкти господарювання </w:t>
            </w:r>
            <w:r/>
          </w:p>
        </w:tc>
        <w:tc>
          <w:tcPr>
            <w:tcW w:w="3259" w:type="dxa"/>
            <w:textDirection w:val="lrTb"/>
            <w:noWrap w:val="false"/>
          </w:tcPr>
          <w:p>
            <w:pPr>
              <w:jc w:val="center"/>
              <w:rPr>
                <w:rStyle w:val="276"/>
                <w:sz w:val="24"/>
                <w:szCs w:val="24"/>
              </w:rPr>
            </w:pPr>
            <w:r>
              <w:rPr>
                <w:rStyle w:val="276"/>
                <w:sz w:val="24"/>
                <w:szCs w:val="24"/>
              </w:rPr>
              <w:t xml:space="preserve">+</w:t>
            </w:r>
            <w:r/>
          </w:p>
        </w:tc>
        <w:tc>
          <w:tcPr>
            <w:tcW w:w="3251" w:type="dxa"/>
            <w:textDirection w:val="lrTb"/>
            <w:noWrap w:val="false"/>
          </w:tcPr>
          <w:p>
            <w:pPr>
              <w:jc w:val="center"/>
              <w:rPr>
                <w:rStyle w:val="276"/>
                <w:sz w:val="24"/>
                <w:szCs w:val="24"/>
              </w:rPr>
            </w:pPr>
            <w:r>
              <w:rPr>
                <w:rStyle w:val="276"/>
                <w:sz w:val="24"/>
                <w:szCs w:val="24"/>
              </w:rPr>
              <w:t xml:space="preserve">-</w:t>
            </w:r>
            <w:r/>
          </w:p>
        </w:tc>
      </w:tr>
      <w:tr>
        <w:trPr/>
        <w:tc>
          <w:tcPr>
            <w:tcW w:w="3344" w:type="dxa"/>
            <w:textDirection w:val="lrTb"/>
            <w:noWrap w:val="false"/>
          </w:tcPr>
          <w:p>
            <w:pPr>
              <w:jc w:val="both"/>
              <w:rPr>
                <w:rStyle w:val="276"/>
                <w:sz w:val="24"/>
                <w:szCs w:val="24"/>
              </w:rPr>
            </w:pPr>
            <w:r>
              <w:rPr>
                <w:rStyle w:val="276"/>
                <w:sz w:val="24"/>
                <w:szCs w:val="24"/>
              </w:rPr>
              <w:t xml:space="preserve">У тому числі суб’єкти малого підприємництва </w:t>
            </w:r>
            <w:r/>
          </w:p>
        </w:tc>
        <w:tc>
          <w:tcPr>
            <w:tcW w:w="3259" w:type="dxa"/>
            <w:textDirection w:val="lrTb"/>
            <w:noWrap w:val="false"/>
          </w:tcPr>
          <w:p>
            <w:pPr>
              <w:jc w:val="center"/>
              <w:rPr>
                <w:rStyle w:val="276"/>
                <w:sz w:val="24"/>
                <w:szCs w:val="24"/>
              </w:rPr>
            </w:pPr>
            <w:r>
              <w:rPr>
                <w:rStyle w:val="276"/>
                <w:sz w:val="24"/>
                <w:szCs w:val="24"/>
              </w:rPr>
              <w:t xml:space="preserve">+</w:t>
            </w:r>
            <w:r/>
          </w:p>
        </w:tc>
        <w:tc>
          <w:tcPr>
            <w:tcW w:w="3251" w:type="dxa"/>
            <w:textDirection w:val="lrTb"/>
            <w:noWrap w:val="false"/>
          </w:tcPr>
          <w:p>
            <w:pPr>
              <w:jc w:val="center"/>
              <w:rPr>
                <w:rStyle w:val="276"/>
                <w:sz w:val="24"/>
                <w:szCs w:val="24"/>
              </w:rPr>
            </w:pPr>
            <w:r>
              <w:rPr>
                <w:rStyle w:val="276"/>
                <w:sz w:val="24"/>
                <w:szCs w:val="24"/>
              </w:rPr>
              <w:t xml:space="preserve">-</w:t>
            </w:r>
            <w:r/>
          </w:p>
        </w:tc>
      </w:tr>
    </w:tbl>
    <w:p>
      <w:pPr>
        <w:ind w:firstLine="567"/>
        <w:jc w:val="both"/>
        <w:rPr>
          <w:lang w:eastAsia="zh-CN"/>
        </w:rPr>
      </w:pPr>
      <w:r>
        <w:rPr>
          <w:sz w:val="24"/>
          <w:szCs w:val="24"/>
          <w:lang w:eastAsia="zh-CN"/>
        </w:rPr>
        <w:t xml:space="preserve">Ухвалення даного акту обумовлено необхідністю врегулювання правових відносин між місцевими органами виконавчої влади та фізичними і юридичними </w:t>
      </w:r>
      <w:r>
        <w:rPr>
          <w:color w:val="000000"/>
          <w:sz w:val="24"/>
          <w:szCs w:val="24"/>
          <w:lang w:eastAsia="zh-CN"/>
        </w:rPr>
        <w:t xml:space="preserve">(незалежно від форми власності, підпорядкованості та сфери діяльності)</w:t>
      </w:r>
      <w:r>
        <w:rPr>
          <w:sz w:val="24"/>
          <w:szCs w:val="24"/>
          <w:lang w:eastAsia="zh-CN"/>
        </w:rPr>
        <w:t xml:space="preserve"> особами.</w:t>
      </w:r>
      <w:r/>
    </w:p>
    <w:p>
      <w:pPr>
        <w:pStyle w:val="191"/>
        <w:jc w:val="center"/>
        <w:spacing w:after="0" w:before="120"/>
        <w:rPr>
          <w:rFonts w:ascii="Times New Roman" w:hAnsi="Times New Roman"/>
          <w:sz w:val="24"/>
          <w:szCs w:val="24"/>
        </w:rPr>
      </w:pPr>
      <w:r/>
      <w:bookmarkStart w:id="6" w:name="n26"/>
      <w:r/>
      <w:bookmarkStart w:id="7" w:name="n31"/>
      <w:r/>
      <w:bookmarkStart w:id="8" w:name="n32"/>
      <w:r/>
      <w:bookmarkStart w:id="9" w:name="n35"/>
      <w:r/>
      <w:bookmarkEnd w:id="6"/>
      <w:r/>
      <w:bookmarkEnd w:id="7"/>
      <w:r/>
      <w:bookmarkEnd w:id="8"/>
      <w:r/>
      <w:bookmarkEnd w:id="9"/>
      <w:r>
        <w:rPr>
          <w:rFonts w:ascii="Times New Roman" w:hAnsi="Times New Roman"/>
          <w:sz w:val="24"/>
          <w:szCs w:val="24"/>
        </w:rPr>
        <w:t xml:space="preserve">II. Цілі державного регулювання</w:t>
      </w:r>
      <w:r/>
    </w:p>
    <w:p>
      <w:pPr>
        <w:ind w:firstLine="540"/>
        <w:jc w:val="both"/>
        <w:shd w:val="clear" w:color="auto" w:fill="FFFFFF"/>
        <w:rPr>
          <w:rStyle w:val="276"/>
          <w:sz w:val="24"/>
          <w:szCs w:val="24"/>
        </w:rPr>
      </w:pPr>
      <w:r/>
      <w:bookmarkStart w:id="10" w:name="n36"/>
      <w:r/>
      <w:bookmarkStart w:id="11" w:name="n37"/>
      <w:r/>
      <w:bookmarkEnd w:id="10"/>
      <w:r/>
      <w:bookmarkEnd w:id="11"/>
      <w:r>
        <w:rPr>
          <w:rStyle w:val="276"/>
          <w:sz w:val="24"/>
          <w:szCs w:val="24"/>
        </w:rPr>
        <w:t xml:space="preserve">Цілями  прийняття і запровадження даного регуляторного акта є:</w:t>
      </w:r>
      <w:r/>
    </w:p>
    <w:p>
      <w:pPr>
        <w:numPr>
          <w:ilvl w:val="0"/>
          <w:numId w:val="4"/>
        </w:numPr>
        <w:ind w:left="0" w:firstLine="540"/>
        <w:jc w:val="both"/>
        <w:shd w:val="clear" w:color="auto" w:fill="FFFFFF"/>
        <w:rPr>
          <w:rStyle w:val="276"/>
          <w:sz w:val="24"/>
          <w:szCs w:val="24"/>
        </w:rPr>
      </w:pPr>
      <w:r>
        <w:rPr>
          <w:rStyle w:val="276"/>
          <w:sz w:val="24"/>
          <w:szCs w:val="24"/>
        </w:rPr>
        <w:t xml:space="preserve">реалізація вимог земельного законодавства України, що регулює питання та строки проведення (оновлення) нормативної грошової оцінки (не рідше 5-7 років); </w:t>
      </w:r>
      <w:r/>
    </w:p>
    <w:p>
      <w:pPr>
        <w:numPr>
          <w:ilvl w:val="0"/>
          <w:numId w:val="4"/>
        </w:numPr>
        <w:ind w:left="0" w:firstLine="540"/>
        <w:jc w:val="both"/>
        <w:shd w:val="clear" w:color="auto" w:fill="FFFFFF"/>
        <w:rPr>
          <w:rStyle w:val="276"/>
          <w:sz w:val="24"/>
          <w:szCs w:val="24"/>
        </w:rPr>
      </w:pPr>
      <w:r>
        <w:rPr>
          <w:rStyle w:val="276"/>
          <w:sz w:val="24"/>
          <w:szCs w:val="24"/>
        </w:rPr>
        <w:t xml:space="preserve">забезпечення належного обчислення плати за землю в частині визначення бази оподаткування та граничних розмірів орендної плати за користування земельними ділянками на території населених пунктів;</w:t>
      </w:r>
      <w:r/>
    </w:p>
    <w:p>
      <w:pPr>
        <w:numPr>
          <w:ilvl w:val="0"/>
          <w:numId w:val="4"/>
        </w:numPr>
        <w:ind w:left="0" w:firstLine="540"/>
        <w:jc w:val="both"/>
        <w:rPr>
          <w:rStyle w:val="276"/>
          <w:sz w:val="24"/>
          <w:szCs w:val="24"/>
        </w:rPr>
      </w:pPr>
      <w:r>
        <w:rPr>
          <w:rStyle w:val="276"/>
          <w:sz w:val="24"/>
          <w:szCs w:val="24"/>
        </w:rPr>
        <w:t xml:space="preserve">упорядкування розрахунку нормативної грошової оцінки земельних ділянок у залежності від їх функціонального використання та місцезнаходження; </w:t>
      </w:r>
      <w:r/>
    </w:p>
    <w:p>
      <w:pPr>
        <w:numPr>
          <w:ilvl w:val="0"/>
          <w:numId w:val="4"/>
        </w:numPr>
        <w:ind w:left="0" w:firstLine="540"/>
        <w:jc w:val="both"/>
        <w:rPr>
          <w:rStyle w:val="276"/>
          <w:sz w:val="24"/>
          <w:szCs w:val="24"/>
        </w:rPr>
      </w:pPr>
      <w:r>
        <w:rPr>
          <w:rStyle w:val="276"/>
          <w:sz w:val="24"/>
          <w:szCs w:val="24"/>
        </w:rPr>
        <w:t xml:space="preserve">забезпечення надходження до бюджету міста плати за землю;</w:t>
      </w:r>
      <w:r/>
    </w:p>
    <w:p>
      <w:pPr>
        <w:numPr>
          <w:ilvl w:val="0"/>
          <w:numId w:val="4"/>
        </w:numPr>
        <w:ind w:left="0" w:firstLine="540"/>
        <w:jc w:val="both"/>
        <w:rPr>
          <w:rStyle w:val="276"/>
          <w:sz w:val="24"/>
          <w:szCs w:val="24"/>
        </w:rPr>
      </w:pPr>
      <w:r>
        <w:rPr>
          <w:rStyle w:val="276"/>
          <w:sz w:val="24"/>
          <w:szCs w:val="24"/>
        </w:rPr>
        <w:t xml:space="preserve">забезпечення належного обчислення державного мита, укладання договорів міни, дарування, спадкування тощо земельних ділянок та усунення факторів, що в подальшому можуть вплинути на можливість громадян та суб’єктів господарювання вільно та на власний розсуд р</w:t>
      </w:r>
      <w:r>
        <w:rPr>
          <w:sz w:val="24"/>
          <w:szCs w:val="24"/>
        </w:rPr>
        <w:t xml:space="preserve">озпоряджатись власними земельними ділянками або отримувати земельні ділянки із земель державної та комунальної власності для задоволення власних потреб або здійснення господарської діяльності;</w:t>
      </w:r>
      <w:r/>
    </w:p>
    <w:p>
      <w:pPr>
        <w:numPr>
          <w:ilvl w:val="0"/>
          <w:numId w:val="4"/>
        </w:numPr>
        <w:ind w:left="0" w:firstLine="540"/>
        <w:jc w:val="both"/>
        <w:rPr>
          <w:rStyle w:val="276"/>
          <w:sz w:val="24"/>
          <w:szCs w:val="24"/>
        </w:rPr>
      </w:pPr>
      <w:r>
        <w:rPr>
          <w:rStyle w:val="276"/>
          <w:sz w:val="24"/>
          <w:szCs w:val="24"/>
        </w:rPr>
        <w:t xml:space="preserve"> врегулювання правовідносин між Менською міською радою та користувачами земельних ділянок. </w:t>
      </w:r>
      <w:r/>
    </w:p>
    <w:p>
      <w:pPr>
        <w:pStyle w:val="191"/>
        <w:jc w:val="center"/>
        <w:spacing w:after="0" w:before="120"/>
        <w:rPr>
          <w:rFonts w:ascii="Times New Roman" w:hAnsi="Times New Roman"/>
          <w:sz w:val="24"/>
          <w:szCs w:val="24"/>
        </w:rPr>
      </w:pPr>
      <w:r>
        <w:rPr>
          <w:rFonts w:ascii="Times New Roman" w:hAnsi="Times New Roman"/>
          <w:sz w:val="24"/>
          <w:szCs w:val="24"/>
        </w:rPr>
        <w:t xml:space="preserve">III. Визначення та оцінка альтернативних способів досягнення цілей</w:t>
      </w:r>
      <w:r/>
    </w:p>
    <w:p>
      <w:pPr>
        <w:ind w:firstLine="708"/>
        <w:jc w:val="both"/>
        <w:rPr>
          <w:sz w:val="24"/>
          <w:szCs w:val="24"/>
          <w:lang w:val="ru-RU"/>
        </w:rPr>
      </w:pPr>
      <w:r>
        <w:rPr>
          <w:sz w:val="24"/>
          <w:szCs w:val="24"/>
          <w:lang w:val="ru-RU"/>
        </w:rPr>
        <w:t xml:space="preserve">1. Визначення альтернативних способів</w:t>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4364"/>
        <w:gridCol w:w="4980"/>
      </w:tblGrid>
      <w:tr>
        <w:trPr/>
        <w:tc>
          <w:tcPr>
            <w:tcW w:w="4469" w:type="dxa"/>
            <w:textDirection w:val="lrTb"/>
            <w:noWrap w:val="false"/>
          </w:tcPr>
          <w:p>
            <w:pPr>
              <w:pStyle w:val="270"/>
              <w:jc w:val="center"/>
              <w:rPr>
                <w:b/>
              </w:rPr>
            </w:pPr>
            <w:r>
              <w:rPr>
                <w:b/>
              </w:rPr>
              <w:t xml:space="preserve">Вид альтернативи</w:t>
            </w:r>
            <w:r/>
          </w:p>
        </w:tc>
        <w:tc>
          <w:tcPr>
            <w:tcW w:w="5102" w:type="dxa"/>
            <w:textDirection w:val="lrTb"/>
            <w:noWrap w:val="false"/>
          </w:tcPr>
          <w:p>
            <w:pPr>
              <w:pStyle w:val="270"/>
              <w:jc w:val="center"/>
              <w:rPr>
                <w:b/>
              </w:rPr>
            </w:pPr>
            <w:r>
              <w:rPr>
                <w:b/>
              </w:rPr>
              <w:t xml:space="preserve">Опис альтернативи</w:t>
            </w:r>
            <w:r/>
          </w:p>
        </w:tc>
      </w:tr>
      <w:tr>
        <w:trPr/>
        <w:tc>
          <w:tcPr>
            <w:tcW w:w="4469" w:type="dxa"/>
            <w:textDirection w:val="lrTb"/>
            <w:noWrap w:val="false"/>
          </w:tcPr>
          <w:p>
            <w:pPr>
              <w:jc w:val="both"/>
              <w:rPr>
                <w:lang w:val="ru-RU" w:eastAsia="zh-CN"/>
              </w:rPr>
            </w:pPr>
            <w:r>
              <w:rPr>
                <w:bCs/>
                <w:sz w:val="24"/>
                <w:szCs w:val="24"/>
                <w:lang w:eastAsia="zh-CN"/>
              </w:rPr>
              <w:t xml:space="preserve">Альтернатива 1:</w:t>
            </w:r>
            <w:r/>
          </w:p>
          <w:p>
            <w:pPr>
              <w:pStyle w:val="270"/>
            </w:pPr>
            <w:r>
              <w:rPr>
                <w:rStyle w:val="276"/>
              </w:rPr>
              <w:t xml:space="preserve">Залишення існуючої на даний момент ситуації без змін</w:t>
            </w:r>
            <w:r/>
          </w:p>
        </w:tc>
        <w:tc>
          <w:tcPr>
            <w:tcW w:w="5102" w:type="dxa"/>
            <w:textDirection w:val="lrTb"/>
            <w:noWrap w:val="false"/>
          </w:tcPr>
          <w:p>
            <w:pPr>
              <w:rPr>
                <w:rStyle w:val="276"/>
                <w:sz w:val="24"/>
                <w:szCs w:val="24"/>
              </w:rPr>
            </w:pPr>
            <w:r>
              <w:rPr>
                <w:rStyle w:val="276"/>
                <w:sz w:val="24"/>
                <w:szCs w:val="24"/>
              </w:rPr>
              <w:t xml:space="preserve">Нормативна грошова оцінка земель н</w:t>
            </w:r>
            <w:r>
              <w:rPr>
                <w:rStyle w:val="276"/>
              </w:rPr>
              <w:t xml:space="preserve">аселених пунктів</w:t>
            </w:r>
            <w:r>
              <w:rPr>
                <w:rStyle w:val="276"/>
                <w:sz w:val="24"/>
                <w:szCs w:val="24"/>
              </w:rPr>
              <w:t xml:space="preserve">, затверджена рішенням  М</w:t>
            </w:r>
            <w:r>
              <w:rPr>
                <w:rStyle w:val="276"/>
              </w:rPr>
              <w:t xml:space="preserve">енської</w:t>
            </w:r>
            <w:r>
              <w:rPr>
                <w:rStyle w:val="276"/>
                <w:sz w:val="24"/>
                <w:szCs w:val="24"/>
              </w:rPr>
              <w:t xml:space="preserve"> міської ради, не буде відповідати вимогам статті 18 Закону України "Про оцінку земель"</w:t>
            </w:r>
            <w:r/>
          </w:p>
        </w:tc>
      </w:tr>
      <w:tr>
        <w:trPr/>
        <w:tc>
          <w:tcPr>
            <w:tcW w:w="4469" w:type="dxa"/>
            <w:textDirection w:val="lrTb"/>
            <w:noWrap w:val="false"/>
          </w:tcPr>
          <w:p>
            <w:pPr>
              <w:jc w:val="both"/>
              <w:rPr>
                <w:bCs/>
                <w:sz w:val="24"/>
                <w:szCs w:val="24"/>
                <w:lang w:eastAsia="zh-CN"/>
              </w:rPr>
            </w:pPr>
            <w:r>
              <w:rPr>
                <w:bCs/>
                <w:sz w:val="24"/>
                <w:szCs w:val="24"/>
                <w:lang w:eastAsia="zh-CN"/>
              </w:rPr>
              <w:t xml:space="preserve">Альтернатива 2:</w:t>
            </w:r>
            <w:r/>
          </w:p>
          <w:p>
            <w:pPr>
              <w:jc w:val="both"/>
              <w:rPr>
                <w:lang w:val="ru-RU" w:eastAsia="zh-CN"/>
              </w:rPr>
            </w:pPr>
            <w:r>
              <w:rPr>
                <w:lang w:val="ru-RU" w:eastAsia="zh-CN"/>
              </w:rPr>
            </w:r>
            <w:r/>
          </w:p>
          <w:p>
            <w:pPr>
              <w:pStyle w:val="275"/>
              <w:rPr>
                <w:rStyle w:val="276"/>
                <w:rFonts w:ascii="Times New Roman" w:hAnsi="Times New Roman"/>
                <w:sz w:val="24"/>
                <w:szCs w:val="24"/>
                <w:lang w:val="uk-UA"/>
              </w:rPr>
            </w:pPr>
            <w:r>
              <w:rPr>
                <w:rStyle w:val="276"/>
                <w:rFonts w:ascii="Times New Roman" w:hAnsi="Times New Roman"/>
                <w:sz w:val="24"/>
                <w:szCs w:val="24"/>
                <w:lang w:val="uk-UA"/>
              </w:rPr>
              <w:t xml:space="preserve">Прийняття регуляторного акта, положення якого повністю узгоджуються з нормами Податкового </w:t>
            </w:r>
            <w:r>
              <w:rPr>
                <w:rStyle w:val="276"/>
                <w:rFonts w:ascii="Times New Roman" w:hAnsi="Times New Roman"/>
                <w:sz w:val="24"/>
                <w:szCs w:val="24"/>
                <w:lang w:val="uk-UA"/>
              </w:rPr>
              <w:t xml:space="preserve">Кодексу України та Закону України "Про оцінку земель"</w:t>
            </w:r>
            <w:r/>
          </w:p>
        </w:tc>
        <w:tc>
          <w:tcPr>
            <w:tcW w:w="5102" w:type="dxa"/>
            <w:textDirection w:val="lrTb"/>
            <w:noWrap w:val="false"/>
          </w:tcPr>
          <w:p>
            <w:pPr>
              <w:rPr>
                <w:rStyle w:val="276"/>
                <w:sz w:val="24"/>
                <w:szCs w:val="24"/>
              </w:rPr>
            </w:pPr>
            <w:r>
              <w:rPr>
                <w:rStyle w:val="276"/>
                <w:sz w:val="24"/>
                <w:szCs w:val="24"/>
              </w:rPr>
              <w:t xml:space="preserve">Забезпечує досягнення цілей державного регулювання</w:t>
            </w:r>
            <w:r/>
          </w:p>
          <w:p>
            <w:pPr>
              <w:rPr>
                <w:rStyle w:val="276"/>
                <w:sz w:val="24"/>
                <w:szCs w:val="24"/>
              </w:rPr>
            </w:pPr>
            <w:r>
              <w:rPr>
                <w:rStyle w:val="276"/>
                <w:sz w:val="24"/>
                <w:szCs w:val="24"/>
              </w:rPr>
              <w:t xml:space="preserve">Враховує пропозиції фізичних та юридичних осіб, які прийняли участь в обговорені проекту рішення</w:t>
            </w:r>
            <w:r/>
          </w:p>
          <w:p>
            <w:pPr>
              <w:pStyle w:val="275"/>
              <w:rPr>
                <w:rStyle w:val="276"/>
                <w:rFonts w:ascii="Times New Roman" w:hAnsi="Times New Roman"/>
                <w:sz w:val="24"/>
                <w:szCs w:val="24"/>
                <w:lang w:val="uk-UA"/>
              </w:rPr>
            </w:pPr>
            <w:r>
              <w:rPr>
                <w:rStyle w:val="276"/>
                <w:rFonts w:ascii="Times New Roman" w:hAnsi="Times New Roman"/>
                <w:sz w:val="24"/>
                <w:szCs w:val="24"/>
                <w:lang w:val="uk-UA"/>
              </w:rPr>
              <w:t xml:space="preserve">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w:t>
            </w:r>
            <w:r/>
          </w:p>
          <w:p>
            <w:pPr>
              <w:pStyle w:val="275"/>
              <w:rPr>
                <w:rFonts w:ascii="Times New Roman" w:hAnsi="Times New Roman"/>
                <w:sz w:val="24"/>
                <w:szCs w:val="24"/>
                <w:lang w:val="uk-UA"/>
              </w:rPr>
            </w:pPr>
            <w:r>
              <w:rPr>
                <w:rFonts w:ascii="Times New Roman" w:hAnsi="Times New Roman"/>
                <w:sz w:val="24"/>
                <w:szCs w:val="24"/>
                <w:lang w:val="uk-UA"/>
              </w:rPr>
              <w:t xml:space="preserve">Належне фінансування програм соціально-економічного розвитку міста</w:t>
            </w:r>
            <w:r/>
          </w:p>
        </w:tc>
      </w:tr>
    </w:tbl>
    <w:p>
      <w:pPr>
        <w:ind w:firstLine="709"/>
        <w:jc w:val="both"/>
        <w:rPr>
          <w:sz w:val="24"/>
          <w:szCs w:val="24"/>
        </w:rPr>
      </w:pPr>
      <w:r>
        <w:rPr>
          <w:sz w:val="24"/>
          <w:szCs w:val="24"/>
        </w:rPr>
        <w:t xml:space="preserve">Інші альтернативні способи досягнення цілей, зокрема, за допомогою ринкових механізмів або шляхом зміни ставок податку, розмірів орендної плати тощо є неприйнятними, оскільки вирішення порушеної проблеми лежить, передусім, у правовій площині, а необхідність</w:t>
      </w:r>
      <w:r>
        <w:rPr>
          <w:sz w:val="24"/>
          <w:szCs w:val="24"/>
        </w:rPr>
        <w:t xml:space="preserve"> прийняття відповідного рішення та проведення нормативної грошової оцінки обумовлені вимогами законодавства у відповідній сфері. </w:t>
      </w:r>
      <w:r/>
    </w:p>
    <w:p>
      <w:pPr>
        <w:ind w:firstLine="708"/>
        <w:jc w:val="both"/>
        <w:rPr>
          <w:sz w:val="24"/>
          <w:szCs w:val="24"/>
        </w:rPr>
      </w:pPr>
      <w:r>
        <w:rPr>
          <w:sz w:val="24"/>
          <w:szCs w:val="24"/>
        </w:rPr>
        <w:t xml:space="preserve">2. Оцінка вибраних альтернативних способів досягнення цілей.</w:t>
      </w:r>
      <w:r/>
    </w:p>
    <w:p>
      <w:pPr>
        <w:pStyle w:val="270"/>
        <w:ind w:firstLine="708"/>
        <w:jc w:val="both"/>
        <w:spacing w:after="0" w:afterAutospacing="0" w:before="120" w:beforeAutospacing="0"/>
      </w:pPr>
      <w:r>
        <w:t xml:space="preserve">Опис вигод та витрат за кожною альтернативою для сфер інтересів держави, громадян та суб'єктів господарювання.</w:t>
      </w:r>
      <w:r/>
    </w:p>
    <w:p>
      <w:pPr>
        <w:ind w:firstLine="708"/>
        <w:jc w:val="both"/>
        <w:rPr>
          <w:sz w:val="24"/>
          <w:szCs w:val="24"/>
        </w:rPr>
      </w:pPr>
      <w:r>
        <w:rPr>
          <w:sz w:val="24"/>
          <w:szCs w:val="24"/>
        </w:rPr>
        <w:t xml:space="preserve">Оцінка впливу на сферу інтересів держави</w:t>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977"/>
        <w:gridCol w:w="3219"/>
        <w:gridCol w:w="3148"/>
      </w:tblGrid>
      <w:tr>
        <w:trPr/>
        <w:tc>
          <w:tcPr>
            <w:tcW w:w="3050"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294" w:type="dxa"/>
            <w:textDirection w:val="lrTb"/>
            <w:noWrap w:val="false"/>
          </w:tcPr>
          <w:p>
            <w:pPr>
              <w:jc w:val="center"/>
              <w:rPr>
                <w:b/>
                <w:bCs/>
                <w:sz w:val="24"/>
                <w:szCs w:val="24"/>
                <w:lang w:eastAsia="uk-UA"/>
              </w:rPr>
            </w:pPr>
            <w:r>
              <w:rPr>
                <w:b/>
                <w:bCs/>
                <w:sz w:val="24"/>
                <w:szCs w:val="24"/>
                <w:lang w:eastAsia="uk-UA"/>
              </w:rPr>
              <w:t xml:space="preserve">Вигоди</w:t>
            </w:r>
            <w:r/>
          </w:p>
        </w:tc>
        <w:tc>
          <w:tcPr>
            <w:tcW w:w="3226"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050" w:type="dxa"/>
            <w:textDirection w:val="lrTb"/>
            <w:noWrap w:val="false"/>
          </w:tcPr>
          <w:p>
            <w:pPr>
              <w:jc w:val="both"/>
              <w:rPr>
                <w:bCs/>
                <w:sz w:val="24"/>
                <w:szCs w:val="24"/>
                <w:lang w:eastAsia="zh-CN"/>
              </w:rPr>
            </w:pPr>
            <w:r>
              <w:rPr>
                <w:bCs/>
                <w:sz w:val="24"/>
                <w:szCs w:val="24"/>
                <w:lang w:eastAsia="zh-CN"/>
              </w:rPr>
              <w:t xml:space="preserve">Альтернатива 1:</w:t>
            </w:r>
            <w:r/>
          </w:p>
          <w:p>
            <w:pPr>
              <w:jc w:val="both"/>
              <w:rPr>
                <w:lang w:eastAsia="zh-CN"/>
              </w:rPr>
            </w:pPr>
            <w:r>
              <w:rPr>
                <w:lang w:eastAsia="zh-CN"/>
              </w:rPr>
            </w:r>
            <w:r/>
          </w:p>
          <w:p>
            <w:pPr>
              <w:jc w:val="both"/>
              <w:rPr>
                <w:sz w:val="24"/>
                <w:szCs w:val="24"/>
              </w:rPr>
            </w:pPr>
            <w:r>
              <w:rPr>
                <w:sz w:val="24"/>
                <w:szCs w:val="24"/>
              </w:rPr>
              <w:t xml:space="preserve">Прийняття Менською міською радою рішення </w:t>
            </w:r>
            <w:r>
              <w:rPr>
                <w:rStyle w:val="269"/>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269"/>
                <w:b w:val="false"/>
                <w:bCs w:val="false"/>
                <w:sz w:val="24"/>
                <w:szCs w:val="24"/>
                <w:shd w:val="clear" w:color="auto" w:fill="FFFFFF"/>
              </w:rPr>
              <w:t xml:space="preserve">»</w:t>
            </w:r>
            <w:r/>
          </w:p>
        </w:tc>
        <w:tc>
          <w:tcPr>
            <w:tcW w:w="3294" w:type="dxa"/>
            <w:textDirection w:val="lrTb"/>
            <w:noWrap w:val="false"/>
          </w:tcPr>
          <w:p>
            <w:pPr>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rPr>
                <w:sz w:val="24"/>
                <w:szCs w:val="24"/>
              </w:rPr>
            </w:pPr>
            <w:r>
              <w:rPr>
                <w:sz w:val="24"/>
                <w:szCs w:val="24"/>
              </w:rPr>
              <w:t xml:space="preserve">Виконання вимог законодавства України щодо проведення (оновлення) нормативної грошової оцінки земель</w:t>
            </w:r>
            <w:r/>
          </w:p>
          <w:p>
            <w:pPr>
              <w:rPr>
                <w:sz w:val="24"/>
                <w:szCs w:val="24"/>
              </w:rPr>
            </w:pPr>
            <w:r>
              <w:rPr>
                <w:sz w:val="24"/>
                <w:szCs w:val="24"/>
              </w:rPr>
              <w:t xml:space="preserve">Забезпечення належного надходження до бюджету плати за землю</w:t>
            </w:r>
            <w:r/>
          </w:p>
          <w:p>
            <w:pPr>
              <w:rPr>
                <w:sz w:val="24"/>
                <w:szCs w:val="24"/>
              </w:rPr>
            </w:pPr>
            <w:r>
              <w:rPr>
                <w:sz w:val="24"/>
                <w:szCs w:val="24"/>
              </w:rPr>
              <w:t xml:space="preserve">Сприяння функціонуванню ринку землі на території населених пунктів із дотримання вимог законодавства </w:t>
            </w:r>
            <w:r/>
          </w:p>
        </w:tc>
        <w:tc>
          <w:tcPr>
            <w:tcW w:w="3226" w:type="dxa"/>
            <w:textDirection w:val="lrTb"/>
            <w:noWrap w:val="false"/>
          </w:tcPr>
          <w:p>
            <w:pPr>
              <w:jc w:val="center"/>
              <w:rPr>
                <w:bCs/>
                <w:sz w:val="24"/>
                <w:szCs w:val="24"/>
                <w:lang w:eastAsia="uk-UA"/>
              </w:rPr>
            </w:pPr>
            <w:r>
              <w:rPr>
                <w:sz w:val="24"/>
                <w:szCs w:val="24"/>
                <w:lang w:val="ru-RU"/>
              </w:rPr>
              <w:t xml:space="preserve">-</w:t>
            </w:r>
            <w:r/>
          </w:p>
        </w:tc>
      </w:tr>
      <w:tr>
        <w:trPr/>
        <w:tc>
          <w:tcPr>
            <w:tcW w:w="3050" w:type="dxa"/>
            <w:textDirection w:val="lrTb"/>
            <w:noWrap w:val="false"/>
          </w:tcPr>
          <w:p>
            <w:pPr>
              <w:jc w:val="both"/>
              <w:rPr>
                <w:bCs/>
                <w:sz w:val="24"/>
                <w:szCs w:val="24"/>
                <w:lang w:eastAsia="zh-CN"/>
              </w:rPr>
            </w:pPr>
            <w:r>
              <w:rPr>
                <w:bCs/>
                <w:sz w:val="24"/>
                <w:szCs w:val="24"/>
                <w:lang w:eastAsia="zh-CN"/>
              </w:rPr>
              <w:t xml:space="preserve">Альтернатива 2:</w:t>
            </w:r>
            <w:r/>
          </w:p>
          <w:p>
            <w:pPr>
              <w:jc w:val="both"/>
              <w:rPr>
                <w:lang w:val="ru-RU" w:eastAsia="zh-CN"/>
              </w:rPr>
            </w:pPr>
            <w:r>
              <w:rPr>
                <w:lang w:val="ru-RU" w:eastAsia="zh-CN"/>
              </w:rPr>
            </w:r>
            <w:r/>
          </w:p>
          <w:p>
            <w:pPr>
              <w:rPr>
                <w:bCs/>
                <w:sz w:val="24"/>
                <w:szCs w:val="24"/>
                <w:lang w:eastAsia="uk-UA"/>
              </w:rPr>
            </w:pPr>
            <w:r>
              <w:rPr>
                <w:sz w:val="24"/>
                <w:szCs w:val="24"/>
              </w:rPr>
              <w:t xml:space="preserve">Відсутність регулювання </w:t>
            </w:r>
            <w:r/>
          </w:p>
        </w:tc>
        <w:tc>
          <w:tcPr>
            <w:tcW w:w="3294" w:type="dxa"/>
            <w:textDirection w:val="lrTb"/>
            <w:noWrap w:val="false"/>
          </w:tcPr>
          <w:p>
            <w:pPr>
              <w:jc w:val="center"/>
              <w:widowControl w:val="off"/>
              <w:rPr>
                <w:bCs/>
                <w:sz w:val="24"/>
                <w:szCs w:val="24"/>
                <w:lang w:eastAsia="uk-UA"/>
              </w:rPr>
            </w:pPr>
            <w:r>
              <w:rPr>
                <w:bCs/>
                <w:sz w:val="24"/>
                <w:szCs w:val="24"/>
                <w:lang w:eastAsia="uk-UA"/>
              </w:rPr>
              <w:t xml:space="preserve">-</w:t>
            </w:r>
            <w:r/>
          </w:p>
        </w:tc>
        <w:tc>
          <w:tcPr>
            <w:tcW w:w="3226" w:type="dxa"/>
            <w:textDirection w:val="lrTb"/>
            <w:noWrap w:val="false"/>
          </w:tcPr>
          <w:p>
            <w:pPr>
              <w:rPr>
                <w:bCs/>
                <w:sz w:val="24"/>
                <w:szCs w:val="24"/>
                <w:lang w:eastAsia="uk-UA"/>
              </w:rPr>
            </w:pPr>
            <w:r>
              <w:rPr>
                <w:bCs/>
                <w:sz w:val="24"/>
                <w:szCs w:val="24"/>
                <w:lang w:eastAsia="uk-UA"/>
              </w:rPr>
              <w:t xml:space="preserve">Зменшення надходження коштів до бюджету</w:t>
            </w:r>
            <w:r/>
          </w:p>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 </w:t>
            </w:r>
            <w:r/>
          </w:p>
        </w:tc>
      </w:tr>
    </w:tbl>
    <w:p>
      <w:pPr>
        <w:ind w:firstLine="708"/>
        <w:jc w:val="both"/>
        <w:rPr>
          <w:sz w:val="24"/>
          <w:szCs w:val="24"/>
        </w:rPr>
      </w:pPr>
      <w:r>
        <w:rPr>
          <w:sz w:val="24"/>
          <w:szCs w:val="24"/>
        </w:rPr>
        <w:t xml:space="preserve">Оцінка впливу на сферу інтересів громадян</w:t>
      </w:r>
      <w:r/>
    </w:p>
    <w:p>
      <w:pPr>
        <w:ind w:firstLine="567"/>
        <w:jc w:val="both"/>
        <w:rPr>
          <w:bCs/>
          <w:sz w:val="24"/>
          <w:szCs w:val="24"/>
          <w:lang w:eastAsia="zh-CN"/>
        </w:rPr>
      </w:pPr>
      <w:r>
        <w:rPr>
          <w:bCs/>
          <w:sz w:val="24"/>
          <w:szCs w:val="24"/>
          <w:lang w:eastAsia="zh-CN"/>
        </w:rPr>
      </w:r>
      <w:r/>
    </w:p>
    <w:p>
      <w:pPr>
        <w:ind w:firstLine="709"/>
        <w:jc w:val="both"/>
        <w:rPr>
          <w:lang w:eastAsia="zh-CN"/>
        </w:rPr>
      </w:pPr>
      <w:r>
        <w:rPr>
          <w:bCs/>
          <w:sz w:val="24"/>
          <w:szCs w:val="24"/>
          <w:lang w:eastAsia="zh-CN"/>
        </w:rPr>
        <w:t xml:space="preserve">Кількість суб’єктів господарювання, що підпадають під дію регулювання цього регуляторного акту визначити наразі неможливо.</w:t>
      </w:r>
      <w:r/>
    </w:p>
    <w:p>
      <w:pPr>
        <w:ind w:firstLine="708"/>
        <w:jc w:val="both"/>
        <w:rPr>
          <w:sz w:val="24"/>
          <w:szCs w:val="24"/>
        </w:rPr>
      </w:pPr>
      <w:r>
        <w:rPr>
          <w:sz w:val="24"/>
          <w:szCs w:val="24"/>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974"/>
        <w:gridCol w:w="2909"/>
        <w:gridCol w:w="3461"/>
      </w:tblGrid>
      <w:tr>
        <w:trPr/>
        <w:tc>
          <w:tcPr>
            <w:tcW w:w="3141"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034" w:type="dxa"/>
            <w:textDirection w:val="lrTb"/>
            <w:noWrap w:val="false"/>
          </w:tcPr>
          <w:p>
            <w:pPr>
              <w:jc w:val="center"/>
              <w:rPr>
                <w:b/>
                <w:bCs/>
                <w:sz w:val="24"/>
                <w:szCs w:val="24"/>
                <w:lang w:eastAsia="uk-UA"/>
              </w:rPr>
            </w:pPr>
            <w:r>
              <w:rPr>
                <w:b/>
                <w:bCs/>
                <w:sz w:val="24"/>
                <w:szCs w:val="24"/>
                <w:lang w:eastAsia="uk-UA"/>
              </w:rPr>
              <w:t xml:space="preserve">Вигоди</w:t>
            </w:r>
            <w:r/>
          </w:p>
        </w:tc>
        <w:tc>
          <w:tcPr>
            <w:tcW w:w="3680"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141" w:type="dxa"/>
            <w:textDirection w:val="lrTb"/>
            <w:noWrap w:val="false"/>
          </w:tcPr>
          <w:p>
            <w:pPr>
              <w:jc w:val="both"/>
              <w:rPr>
                <w:sz w:val="24"/>
                <w:szCs w:val="24"/>
              </w:rPr>
            </w:pPr>
            <w:r>
              <w:rPr>
                <w:sz w:val="24"/>
                <w:szCs w:val="24"/>
              </w:rPr>
              <w:t xml:space="preserve">Прийняття Менською міською радою рішення </w:t>
            </w:r>
            <w:r>
              <w:rPr>
                <w:rStyle w:val="269"/>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269"/>
                <w:b w:val="false"/>
                <w:bCs w:val="false"/>
                <w:sz w:val="24"/>
                <w:szCs w:val="24"/>
                <w:shd w:val="clear" w:color="auto" w:fill="FFFFFF"/>
              </w:rPr>
              <w:t xml:space="preserve">»</w:t>
            </w:r>
            <w:r/>
          </w:p>
        </w:tc>
        <w:tc>
          <w:tcPr>
            <w:tcW w:w="3034"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w:t>
            </w:r>
            <w:r>
              <w:rPr>
                <w:sz w:val="24"/>
                <w:szCs w:val="24"/>
              </w:rPr>
              <w:t xml:space="preserve">руктури;  Отримання витягу із технічної документації про нормативно-грошову оцінку землі для сплати податку (орендної плати) за землю;</w:t>
            </w:r>
            <w:r/>
          </w:p>
          <w:p>
            <w:pPr>
              <w:rPr>
                <w:sz w:val="24"/>
                <w:szCs w:val="24"/>
              </w:rPr>
            </w:pPr>
            <w:r>
              <w:rPr>
                <w:sz w:val="24"/>
                <w:szCs w:val="24"/>
              </w:rPr>
              <w:t xml:space="preserve">Прозорий механізм затвердження нормативної грошової оцінки для розрахунку плати за землю</w:t>
            </w:r>
            <w:r/>
          </w:p>
        </w:tc>
        <w:tc>
          <w:tcPr>
            <w:tcW w:w="3680" w:type="dxa"/>
            <w:textDirection w:val="lrTb"/>
            <w:noWrap w:val="false"/>
          </w:tcPr>
          <w:p>
            <w:pPr>
              <w:ind w:firstLine="81"/>
              <w:rPr>
                <w:sz w:val="24"/>
                <w:szCs w:val="24"/>
              </w:rPr>
            </w:pPr>
            <w:r>
              <w:rPr>
                <w:sz w:val="24"/>
                <w:szCs w:val="24"/>
              </w:rPr>
              <w:t xml:space="preserve">Інших витрат, крім визначених законодавством (плата за землю тощо), не передбачає</w:t>
            </w:r>
            <w:r/>
          </w:p>
        </w:tc>
      </w:tr>
      <w:tr>
        <w:trPr/>
        <w:tc>
          <w:tcPr>
            <w:tcW w:w="3141" w:type="dxa"/>
            <w:textDirection w:val="lrTb"/>
            <w:noWrap w:val="false"/>
          </w:tcPr>
          <w:p>
            <w:pPr>
              <w:rPr>
                <w:bCs/>
                <w:sz w:val="24"/>
                <w:szCs w:val="24"/>
                <w:lang w:eastAsia="uk-UA"/>
              </w:rPr>
            </w:pPr>
            <w:r>
              <w:rPr>
                <w:sz w:val="24"/>
                <w:szCs w:val="24"/>
              </w:rPr>
              <w:t xml:space="preserve">Відсутність регулювання </w:t>
            </w:r>
            <w:r/>
          </w:p>
        </w:tc>
        <w:tc>
          <w:tcPr>
            <w:tcW w:w="3034" w:type="dxa"/>
            <w:textDirection w:val="lrTb"/>
            <w:noWrap w:val="false"/>
          </w:tcPr>
          <w:p>
            <w:pPr>
              <w:jc w:val="center"/>
              <w:widowControl w:val="off"/>
              <w:rPr>
                <w:bCs/>
                <w:sz w:val="24"/>
                <w:szCs w:val="24"/>
                <w:lang w:eastAsia="uk-UA"/>
              </w:rPr>
            </w:pPr>
            <w:r>
              <w:rPr>
                <w:bCs/>
                <w:sz w:val="24"/>
                <w:szCs w:val="24"/>
                <w:lang w:eastAsia="uk-UA"/>
              </w:rPr>
              <w:t xml:space="preserve">-</w:t>
            </w:r>
            <w:r/>
          </w:p>
        </w:tc>
        <w:tc>
          <w:tcPr>
            <w:tcW w:w="3680" w:type="dxa"/>
            <w:textDirection w:val="lrTb"/>
            <w:noWrap w:val="false"/>
          </w:tcPr>
          <w:p>
            <w:pPr>
              <w:rPr>
                <w:bCs/>
                <w:sz w:val="24"/>
                <w:szCs w:val="24"/>
                <w:lang w:eastAsia="uk-UA"/>
              </w:rPr>
            </w:pPr>
            <w:r>
              <w:rPr>
                <w:bCs/>
                <w:sz w:val="24"/>
                <w:szCs w:val="24"/>
                <w:lang w:eastAsia="uk-UA"/>
              </w:rPr>
              <w:t xml:space="preserve">Зменшення надходження коштів до бюджету</w:t>
            </w:r>
            <w:r/>
          </w:p>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r>
            <w:r/>
          </w:p>
        </w:tc>
      </w:tr>
    </w:tbl>
    <w:p>
      <w:pPr>
        <w:ind w:firstLine="708"/>
        <w:jc w:val="both"/>
        <w:rPr>
          <w:sz w:val="24"/>
          <w:szCs w:val="24"/>
        </w:rPr>
      </w:pPr>
      <w:r>
        <w:rPr>
          <w:sz w:val="24"/>
          <w:szCs w:val="24"/>
        </w:rPr>
        <w:t xml:space="preserve">Оцінка впливу на сферу інтересів суб’єктів господарювання*</w:t>
      </w:r>
      <w:r/>
    </w:p>
    <w:p>
      <w:pPr>
        <w:ind w:firstLine="567"/>
        <w:jc w:val="both"/>
        <w:rPr>
          <w:lang w:eastAsia="zh-CN"/>
        </w:rPr>
      </w:pPr>
      <w:r>
        <w:rPr>
          <w:bCs/>
          <w:sz w:val="24"/>
          <w:szCs w:val="24"/>
          <w:lang w:eastAsia="zh-CN"/>
        </w:rPr>
        <w:t xml:space="preserve">Кількість громадян, що підпадають під дію регулювання цього регуляторного акту визначити наразі неможливо.</w:t>
      </w:r>
      <w:r/>
    </w:p>
    <w:p>
      <w:pPr>
        <w:ind w:firstLine="708"/>
        <w:jc w:val="both"/>
        <w:rPr>
          <w:sz w:val="24"/>
          <w:szCs w:val="24"/>
        </w:rPr>
      </w:pPr>
      <w:r>
        <w:rPr>
          <w:sz w:val="24"/>
          <w:szCs w:val="24"/>
        </w:rPr>
      </w:r>
      <w:r/>
    </w:p>
    <w:tbl>
      <w:tblPr>
        <w:tblW w:w="9678" w:type="dxa"/>
        <w:tblInd w:w="-70"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3124"/>
        <w:gridCol w:w="3001"/>
        <w:gridCol w:w="3553"/>
      </w:tblGrid>
      <w:tr>
        <w:trPr/>
        <w:tc>
          <w:tcPr>
            <w:tcW w:w="3124"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001" w:type="dxa"/>
            <w:textDirection w:val="lrTb"/>
            <w:noWrap w:val="false"/>
          </w:tcPr>
          <w:p>
            <w:pPr>
              <w:jc w:val="center"/>
              <w:rPr>
                <w:b/>
                <w:bCs/>
                <w:sz w:val="24"/>
                <w:szCs w:val="24"/>
                <w:lang w:eastAsia="uk-UA"/>
              </w:rPr>
            </w:pPr>
            <w:r>
              <w:rPr>
                <w:b/>
                <w:bCs/>
                <w:sz w:val="24"/>
                <w:szCs w:val="24"/>
                <w:lang w:eastAsia="uk-UA"/>
              </w:rPr>
              <w:t xml:space="preserve">Вигоди</w:t>
            </w:r>
            <w:r/>
          </w:p>
        </w:tc>
        <w:tc>
          <w:tcPr>
            <w:tcW w:w="3553"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124" w:type="dxa"/>
            <w:textDirection w:val="lrTb"/>
            <w:noWrap w:val="false"/>
          </w:tcPr>
          <w:p>
            <w:pPr>
              <w:jc w:val="both"/>
              <w:rPr>
                <w:sz w:val="24"/>
                <w:szCs w:val="24"/>
              </w:rPr>
            </w:pPr>
            <w:r>
              <w:rPr>
                <w:sz w:val="24"/>
                <w:szCs w:val="24"/>
              </w:rPr>
              <w:t xml:space="preserve">Прийняття Менською міською радою рішення </w:t>
            </w:r>
            <w:r>
              <w:rPr>
                <w:rStyle w:val="269"/>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269"/>
                <w:b w:val="false"/>
                <w:bCs w:val="false"/>
                <w:sz w:val="24"/>
                <w:szCs w:val="24"/>
                <w:shd w:val="clear" w:color="auto" w:fill="FFFFFF"/>
              </w:rPr>
              <w:t xml:space="preserve">»</w:t>
            </w:r>
            <w:r/>
          </w:p>
        </w:tc>
        <w:tc>
          <w:tcPr>
            <w:tcW w:w="3001"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w:t>
            </w:r>
            <w:r>
              <w:rPr>
                <w:sz w:val="24"/>
                <w:szCs w:val="24"/>
              </w:rPr>
              <w:t xml:space="preserve">уктури;  Отримання витягу із </w:t>
            </w:r>
            <w:r>
              <w:rPr>
                <w:sz w:val="24"/>
                <w:szCs w:val="24"/>
              </w:rPr>
              <w:t xml:space="preserve">технічної документації про нормативно-грошову оцінку землі для сплати податку (орендної плати) за землю;</w:t>
            </w:r>
            <w:r/>
          </w:p>
          <w:p>
            <w:pPr>
              <w:rPr>
                <w:sz w:val="24"/>
                <w:szCs w:val="24"/>
              </w:rPr>
            </w:pPr>
            <w:r>
              <w:rPr>
                <w:sz w:val="24"/>
                <w:szCs w:val="24"/>
              </w:rPr>
              <w:t xml:space="preserve">Прозорий механізм затвердження нормативної грошової оцінки для розрахунку плати за землю</w:t>
            </w:r>
            <w:r/>
          </w:p>
        </w:tc>
        <w:tc>
          <w:tcPr>
            <w:tcW w:w="3553" w:type="dxa"/>
            <w:textDirection w:val="lrTb"/>
            <w:noWrap w:val="false"/>
          </w:tcPr>
          <w:p>
            <w:pPr>
              <w:ind w:firstLine="43"/>
              <w:rPr>
                <w:rStyle w:val="276"/>
                <w:sz w:val="24"/>
                <w:szCs w:val="24"/>
              </w:rPr>
            </w:pPr>
            <w:r>
              <w:rPr>
                <w:sz w:val="24"/>
                <w:szCs w:val="24"/>
              </w:rPr>
              <w:t xml:space="preserve">У разі прийняття рішення, суб'єкти господарювання </w:t>
            </w:r>
            <w:r>
              <w:rPr>
                <w:rStyle w:val="276"/>
                <w:sz w:val="24"/>
                <w:szCs w:val="24"/>
              </w:rPr>
              <w:t xml:space="preserve">– платники плати за землю у 202</w:t>
            </w:r>
            <w:r>
              <w:rPr>
                <w:rStyle w:val="276"/>
              </w:rPr>
              <w:t xml:space="preserve">0</w:t>
            </w:r>
            <w:r>
              <w:rPr>
                <w:rStyle w:val="276"/>
                <w:sz w:val="24"/>
                <w:szCs w:val="24"/>
              </w:rPr>
              <w:t xml:space="preserve"> році будуть сплачувати земельний податок та орендну плату на підставі нормативної грошової оцінки земель, яка буде відповідати вимогам законодавства</w:t>
            </w:r>
            <w:r/>
          </w:p>
          <w:p>
            <w:pPr>
              <w:ind w:firstLine="43"/>
              <w:rPr>
                <w:sz w:val="24"/>
                <w:szCs w:val="24"/>
              </w:rPr>
            </w:pPr>
            <w:r>
              <w:rPr>
                <w:sz w:val="24"/>
                <w:szCs w:val="24"/>
              </w:rPr>
              <w:t xml:space="preserve">Інших витрат, крім визначених законодавством (плата за землю тощо), не передбачає</w:t>
            </w:r>
            <w:r/>
          </w:p>
        </w:tc>
      </w:tr>
      <w:tr>
        <w:trPr/>
        <w:tc>
          <w:tcPr>
            <w:tcW w:w="3124" w:type="dxa"/>
            <w:textDirection w:val="lrTb"/>
            <w:noWrap w:val="false"/>
          </w:tcPr>
          <w:p>
            <w:pPr>
              <w:rPr>
                <w:bCs/>
                <w:sz w:val="24"/>
                <w:szCs w:val="24"/>
                <w:lang w:eastAsia="uk-UA"/>
              </w:rPr>
            </w:pPr>
            <w:r>
              <w:rPr>
                <w:sz w:val="24"/>
                <w:szCs w:val="24"/>
              </w:rPr>
              <w:t xml:space="preserve">Відсутність регулювання </w:t>
            </w:r>
            <w:r/>
          </w:p>
        </w:tc>
        <w:tc>
          <w:tcPr>
            <w:tcW w:w="3001" w:type="dxa"/>
            <w:textDirection w:val="lrTb"/>
            <w:noWrap w:val="false"/>
          </w:tcPr>
          <w:p>
            <w:pPr>
              <w:jc w:val="center"/>
              <w:widowControl w:val="off"/>
              <w:rPr>
                <w:sz w:val="24"/>
                <w:szCs w:val="24"/>
              </w:rPr>
            </w:pPr>
            <w:r>
              <w:rPr>
                <w:sz w:val="24"/>
                <w:szCs w:val="24"/>
              </w:rPr>
              <w:t xml:space="preserve">-</w:t>
            </w:r>
            <w:r/>
          </w:p>
          <w:p>
            <w:pPr>
              <w:jc w:val="both"/>
              <w:widowControl w:val="off"/>
              <w:rPr>
                <w:bCs/>
                <w:sz w:val="24"/>
                <w:szCs w:val="24"/>
                <w:lang w:eastAsia="uk-UA"/>
              </w:rPr>
            </w:pPr>
            <w:r>
              <w:rPr>
                <w:bCs/>
                <w:sz w:val="24"/>
                <w:szCs w:val="24"/>
                <w:lang w:eastAsia="uk-UA"/>
              </w:rPr>
            </w:r>
            <w:r/>
          </w:p>
        </w:tc>
        <w:tc>
          <w:tcPr>
            <w:tcW w:w="3553" w:type="dxa"/>
            <w:textDirection w:val="lrTb"/>
            <w:noWrap w:val="false"/>
          </w:tcPr>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w:t>
            </w:r>
            <w:r/>
          </w:p>
        </w:tc>
      </w:tr>
    </w:tbl>
    <w:p>
      <w:pPr>
        <w:ind w:left="450" w:right="450"/>
        <w:jc w:val="center"/>
        <w:rPr>
          <w:sz w:val="24"/>
          <w:szCs w:val="24"/>
        </w:rPr>
      </w:pPr>
      <w:r>
        <w:rPr>
          <w:sz w:val="24"/>
          <w:szCs w:val="24"/>
        </w:rPr>
      </w:r>
      <w:r/>
    </w:p>
    <w:p>
      <w:pPr>
        <w:ind w:firstLine="450"/>
        <w:jc w:val="both"/>
        <w:rPr>
          <w:sz w:val="24"/>
          <w:szCs w:val="24"/>
        </w:rPr>
      </w:pPr>
      <w:r/>
      <w:bookmarkStart w:id="12" w:name="n38"/>
      <w:r/>
      <w:bookmarkStart w:id="13" w:name="n74"/>
      <w:r/>
      <w:bookmarkEnd w:id="12"/>
      <w:r/>
      <w:bookmarkEnd w:id="13"/>
      <w:r>
        <w:rPr>
          <w:sz w:val="24"/>
          <w:szCs w:val="24"/>
          <w:lang w:eastAsia="uk-UA"/>
        </w:rPr>
        <w:t xml:space="preserve">*Об</w:t>
      </w:r>
      <w:r>
        <w:rPr>
          <w:sz w:val="24"/>
          <w:szCs w:val="24"/>
          <w:lang w:val="ru-RU" w:eastAsia="uk-UA"/>
        </w:rPr>
        <w:t xml:space="preserve">’</w:t>
      </w:r>
      <w:r>
        <w:rPr>
          <w:sz w:val="24"/>
          <w:szCs w:val="24"/>
          <w:lang w:eastAsia="uk-UA"/>
        </w:rPr>
        <w:t xml:space="preserve">єктом плати за землю є земельна ділянка. Плата за землю справляється у вигляді земельного податку або орендної плати, які визначаються на підставі нормативної грошової оцінки земель. На розмір плати за землю не впливає середня кількість працівників та річни</w:t>
      </w:r>
      <w:r>
        <w:rPr>
          <w:sz w:val="24"/>
          <w:szCs w:val="24"/>
          <w:lang w:eastAsia="uk-UA"/>
        </w:rPr>
        <w:t xml:space="preserve">й дохід від будь-якої господарської діяльності суб’єкта господарювання, які є критеріями розподілу суб’єкта господарювання, визначених частиною 3 статті  55 Господарського кодексу України.</w:t>
      </w:r>
      <w:r/>
    </w:p>
    <w:p>
      <w:pPr>
        <w:ind w:right="450"/>
        <w:rPr>
          <w:b/>
          <w:bCs/>
          <w:sz w:val="24"/>
          <w:szCs w:val="24"/>
          <w:lang w:val="ru-RU"/>
        </w:rPr>
      </w:pPr>
      <w:r/>
      <w:bookmarkStart w:id="14" w:name="n75"/>
      <w:r/>
      <w:bookmarkStart w:id="15" w:name="n76"/>
      <w:r/>
      <w:bookmarkStart w:id="16" w:name="n77"/>
      <w:r/>
      <w:bookmarkStart w:id="17" w:name="n83"/>
      <w:r/>
      <w:bookmarkEnd w:id="14"/>
      <w:r/>
      <w:bookmarkEnd w:id="15"/>
      <w:r/>
      <w:bookmarkEnd w:id="16"/>
      <w:r/>
      <w:bookmarkEnd w:id="17"/>
      <w:r/>
      <w:r/>
    </w:p>
    <w:p>
      <w:pPr>
        <w:ind w:firstLine="709"/>
        <w:jc w:val="center"/>
        <w:rPr>
          <w:b/>
          <w:sz w:val="27"/>
          <w:szCs w:val="27"/>
        </w:rPr>
      </w:pPr>
      <w:r>
        <w:rPr>
          <w:b/>
          <w:sz w:val="27"/>
          <w:szCs w:val="27"/>
          <w:lang w:val="en-US"/>
        </w:rPr>
        <w:t xml:space="preserve">IV</w:t>
      </w:r>
      <w:r>
        <w:rPr>
          <w:b/>
          <w:sz w:val="27"/>
          <w:szCs w:val="27"/>
        </w:rPr>
        <w:t xml:space="preserve">. Вибір найбільш оптимального альтернативного способу досягнення цілей</w:t>
      </w:r>
      <w:r/>
      <w:r>
        <w:rPr>
          <w:b/>
          <w:sz w:val="27"/>
          <w:szCs w:val="27"/>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343"/>
        <w:gridCol w:w="525"/>
        <w:gridCol w:w="180"/>
        <w:gridCol w:w="1634"/>
        <w:gridCol w:w="1179"/>
        <w:gridCol w:w="418"/>
        <w:gridCol w:w="713"/>
        <w:gridCol w:w="2352"/>
      </w:tblGrid>
      <w:tr>
        <w:trPr/>
        <w:tc>
          <w:tcPr>
            <w:gridSpan w:val="2"/>
            <w:tcW w:w="2986" w:type="dxa"/>
            <w:textDirection w:val="lrTb"/>
            <w:noWrap w:val="false"/>
          </w:tcPr>
          <w:p>
            <w:pPr>
              <w:jc w:val="center"/>
              <w:rPr>
                <w:b/>
                <w:bCs/>
                <w:szCs w:val="24"/>
                <w:lang w:eastAsia="uk-UA"/>
              </w:rPr>
            </w:pPr>
            <w:r>
              <w:rPr>
                <w:b/>
                <w:bCs/>
                <w:szCs w:val="24"/>
                <w:lang w:eastAsia="uk-UA"/>
              </w:rPr>
              <w:t xml:space="preserve">Рейтинг результативності (досягнення цілей під час вирішення проблеми) </w:t>
            </w:r>
            <w:r/>
          </w:p>
        </w:tc>
        <w:tc>
          <w:tcPr>
            <w:gridSpan w:val="3"/>
            <w:tcW w:w="2993" w:type="dxa"/>
            <w:textDirection w:val="lrTb"/>
            <w:noWrap w:val="false"/>
          </w:tcPr>
          <w:p>
            <w:pPr>
              <w:jc w:val="center"/>
              <w:rPr>
                <w:b/>
                <w:bCs/>
                <w:szCs w:val="24"/>
                <w:lang w:eastAsia="uk-UA"/>
              </w:rPr>
            </w:pPr>
            <w:r>
              <w:rPr>
                <w:b/>
                <w:bCs/>
                <w:szCs w:val="24"/>
                <w:lang w:eastAsia="uk-UA"/>
              </w:rPr>
              <w:t xml:space="preserve">Бал результативності (за чотири бальною системою оцінки)</w:t>
            </w:r>
            <w:r/>
          </w:p>
        </w:tc>
        <w:tc>
          <w:tcPr>
            <w:gridSpan w:val="3"/>
            <w:tcW w:w="3592" w:type="dxa"/>
            <w:textDirection w:val="lrTb"/>
            <w:noWrap w:val="false"/>
          </w:tcPr>
          <w:p>
            <w:pPr>
              <w:jc w:val="center"/>
              <w:rPr>
                <w:b/>
                <w:bCs/>
                <w:szCs w:val="24"/>
                <w:lang w:eastAsia="uk-UA"/>
              </w:rPr>
            </w:pPr>
            <w:r>
              <w:rPr>
                <w:b/>
                <w:bCs/>
                <w:szCs w:val="24"/>
                <w:lang w:eastAsia="uk-UA"/>
              </w:rPr>
              <w:t xml:space="preserve">Коментарі щодо присвоєння відповідного бала</w:t>
            </w:r>
            <w:r/>
          </w:p>
        </w:tc>
      </w:tr>
      <w:tr>
        <w:trPr/>
        <w:tc>
          <w:tcPr>
            <w:gridSpan w:val="2"/>
            <w:tcBorders>
              <w:bottom w:val="single" w:sz="4" w:space="0" w:color="auto"/>
            </w:tcBorders>
            <w:tcW w:w="2986" w:type="dxa"/>
            <w:textDirection w:val="lrTb"/>
            <w:noWrap w:val="false"/>
          </w:tcPr>
          <w:p>
            <w:pPr>
              <w:jc w:val="both"/>
              <w:rPr>
                <w:sz w:val="24"/>
                <w:szCs w:val="24"/>
              </w:rPr>
            </w:pPr>
            <w:r>
              <w:rPr>
                <w:sz w:val="24"/>
                <w:szCs w:val="24"/>
              </w:rPr>
              <w:t xml:space="preserve">Прийняття Менською міською радою рішення </w:t>
            </w:r>
            <w:r>
              <w:rPr>
                <w:rStyle w:val="269"/>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269"/>
                <w:b w:val="false"/>
                <w:bCs w:val="false"/>
                <w:sz w:val="24"/>
                <w:szCs w:val="24"/>
                <w:shd w:val="clear" w:color="auto" w:fill="FFFFFF"/>
              </w:rPr>
              <w:t xml:space="preserve">»</w:t>
            </w:r>
            <w:r/>
          </w:p>
        </w:tc>
        <w:tc>
          <w:tcPr>
            <w:gridSpan w:val="3"/>
            <w:tcBorders>
              <w:bottom w:val="single" w:sz="4" w:space="0" w:color="auto"/>
            </w:tcBorders>
            <w:tcW w:w="2993" w:type="dxa"/>
            <w:textDirection w:val="lrTb"/>
            <w:noWrap w:val="false"/>
          </w:tcPr>
          <w:p>
            <w:pPr>
              <w:ind w:firstLine="708"/>
              <w:jc w:val="center"/>
              <w:rPr>
                <w:sz w:val="24"/>
                <w:szCs w:val="24"/>
                <w:lang w:val="ru-RU"/>
              </w:rPr>
            </w:pPr>
            <w:r>
              <w:rPr>
                <w:sz w:val="24"/>
                <w:szCs w:val="24"/>
                <w:lang w:val="ru-RU"/>
              </w:rPr>
              <w:t xml:space="preserve">4</w:t>
            </w:r>
            <w:r/>
          </w:p>
        </w:tc>
        <w:tc>
          <w:tcPr>
            <w:gridSpan w:val="3"/>
            <w:tcBorders>
              <w:bottom w:val="single" w:sz="4" w:space="0" w:color="auto"/>
            </w:tcBorders>
            <w:tcW w:w="3592"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w:t>
            </w:r>
            <w:r>
              <w:rPr>
                <w:sz w:val="24"/>
                <w:szCs w:val="24"/>
                <w:lang w:eastAsia="uk-UA"/>
              </w:rPr>
              <w:t xml:space="preserve">стану та цільового призначення  тощо земельних ділянок</w:t>
            </w:r>
            <w:r/>
          </w:p>
          <w:p>
            <w:pPr>
              <w:jc w:val="both"/>
              <w:rPr>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r/>
          </w:p>
        </w:tc>
      </w:tr>
      <w:tr>
        <w:trPr/>
        <w:tc>
          <w:tcPr>
            <w:gridSpan w:val="2"/>
            <w:tcBorders>
              <w:bottom w:val="single" w:sz="4" w:space="0" w:color="auto"/>
            </w:tcBorders>
            <w:tcW w:w="2986" w:type="dxa"/>
            <w:textDirection w:val="lrTb"/>
            <w:noWrap w:val="false"/>
          </w:tcPr>
          <w:p>
            <w:pPr>
              <w:rPr>
                <w:bCs/>
                <w:sz w:val="24"/>
                <w:szCs w:val="24"/>
                <w:lang w:eastAsia="uk-UA"/>
              </w:rPr>
            </w:pPr>
            <w:r>
              <w:rPr>
                <w:sz w:val="24"/>
                <w:szCs w:val="24"/>
              </w:rPr>
              <w:t xml:space="preserve">Відсутність регулювання</w:t>
            </w:r>
            <w:r/>
          </w:p>
        </w:tc>
        <w:tc>
          <w:tcPr>
            <w:gridSpan w:val="3"/>
            <w:tcBorders>
              <w:bottom w:val="single" w:sz="4" w:space="0" w:color="auto"/>
            </w:tcBorders>
            <w:tcW w:w="2993" w:type="dxa"/>
            <w:textDirection w:val="lrTb"/>
            <w:noWrap w:val="false"/>
          </w:tcPr>
          <w:p>
            <w:pPr>
              <w:ind w:firstLine="708"/>
              <w:jc w:val="center"/>
              <w:rPr>
                <w:sz w:val="24"/>
                <w:szCs w:val="24"/>
              </w:rPr>
            </w:pPr>
            <w:r>
              <w:rPr>
                <w:sz w:val="24"/>
                <w:szCs w:val="24"/>
              </w:rPr>
              <w:t xml:space="preserve">1</w:t>
            </w:r>
            <w:r/>
          </w:p>
        </w:tc>
        <w:tc>
          <w:tcPr>
            <w:gridSpan w:val="3"/>
            <w:tcBorders>
              <w:bottom w:val="single" w:sz="4" w:space="0" w:color="auto"/>
            </w:tcBorders>
            <w:tcW w:w="3592" w:type="dxa"/>
            <w:textDirection w:val="lrTb"/>
            <w:noWrap w:val="false"/>
          </w:tcPr>
          <w:p>
            <w:pPr>
              <w:jc w:val="both"/>
              <w:rPr>
                <w:sz w:val="24"/>
                <w:szCs w:val="24"/>
              </w:rPr>
            </w:pPr>
            <w:r>
              <w:rPr>
                <w:sz w:val="24"/>
                <w:szCs w:val="24"/>
              </w:rPr>
              <w:t xml:space="preserve">Невиконання вимог </w:t>
            </w:r>
            <w:r>
              <w:rPr>
                <w:sz w:val="24"/>
                <w:szCs w:val="24"/>
                <w:lang w:eastAsia="uk-UA"/>
              </w:rPr>
              <w:t xml:space="preserve">Закону України «Про оцінку земель», зокрема,</w:t>
            </w:r>
            <w:r>
              <w:rPr>
                <w:sz w:val="24"/>
                <w:szCs w:val="24"/>
              </w:rPr>
              <w:t xml:space="preserve"> в частині прийняття (оновлення) нормативної грошової оцінки земель</w:t>
            </w:r>
            <w:r/>
          </w:p>
          <w:p>
            <w:pPr>
              <w:jc w:val="both"/>
              <w:rPr>
                <w:sz w:val="24"/>
                <w:szCs w:val="24"/>
              </w:rPr>
            </w:pPr>
            <w:r>
              <w:rPr>
                <w:sz w:val="24"/>
                <w:szCs w:val="24"/>
              </w:rPr>
            </w:r>
            <w:r/>
          </w:p>
        </w:tc>
      </w:tr>
      <w:tr>
        <w:trPr/>
        <w:tc>
          <w:tcPr>
            <w:tcBorders>
              <w:left w:val="none" w:color="000000" w:sz="4" w:space="0"/>
              <w:top w:val="single" w:sz="4" w:space="0" w:color="auto"/>
              <w:right w:val="none" w:color="000000" w:sz="4" w:space="0"/>
              <w:bottom w:val="none" w:color="000000" w:sz="4" w:space="0"/>
            </w:tcBorders>
            <w:tcW w:w="2413" w:type="dxa"/>
            <w:textDirection w:val="lrTb"/>
            <w:noWrap w:val="false"/>
          </w:tcPr>
          <w:p>
            <w:pPr>
              <w:ind w:right="45"/>
              <w:jc w:val="center"/>
              <w:tabs>
                <w:tab w:val="left" w:pos="-3684" w:leader="none"/>
              </w:tabs>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87" w:type="dxa"/>
            <w:textDirection w:val="lrTb"/>
            <w:noWrap w:val="false"/>
          </w:tcPr>
          <w:p>
            <w:pPr>
              <w:ind w:right="45"/>
              <w:jc w:val="center"/>
              <w:tabs>
                <w:tab w:val="left" w:pos="-3684" w:leader="none"/>
              </w:tabs>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68" w:type="dxa"/>
            <w:textDirection w:val="lrTb"/>
            <w:noWrap w:val="false"/>
          </w:tcPr>
          <w:p>
            <w:pPr>
              <w:ind w:right="45"/>
              <w:jc w:val="center"/>
              <w:tabs>
                <w:tab w:val="left" w:pos="-3684" w:leader="none"/>
              </w:tabs>
              <w:rPr>
                <w:sz w:val="24"/>
                <w:szCs w:val="24"/>
              </w:rPr>
            </w:pPr>
            <w:r>
              <w:rPr>
                <w:sz w:val="24"/>
                <w:szCs w:val="24"/>
              </w:rPr>
            </w:r>
            <w:r/>
          </w:p>
        </w:tc>
        <w:tc>
          <w:tcPr>
            <w:tcBorders>
              <w:left w:val="none" w:color="000000" w:sz="4" w:space="0"/>
              <w:top w:val="single" w:sz="4" w:space="0" w:color="auto"/>
              <w:right w:val="none" w:color="000000" w:sz="4" w:space="0"/>
              <w:bottom w:val="none" w:color="000000" w:sz="4" w:space="0"/>
            </w:tcBorders>
            <w:tcW w:w="2403" w:type="dxa"/>
            <w:textDirection w:val="lrTb"/>
            <w:noWrap w:val="false"/>
          </w:tcPr>
          <w:p>
            <w:pPr>
              <w:ind w:right="45"/>
              <w:jc w:val="center"/>
              <w:tabs>
                <w:tab w:val="left" w:pos="-3684" w:leader="none"/>
              </w:tabs>
              <w:rPr>
                <w:sz w:val="24"/>
                <w:szCs w:val="24"/>
              </w:rPr>
            </w:pPr>
            <w:r>
              <w:rPr>
                <w:sz w:val="24"/>
                <w:szCs w:val="24"/>
              </w:rPr>
            </w:r>
            <w:r/>
          </w:p>
        </w:tc>
      </w:tr>
      <w:tr>
        <w:trPr/>
        <w:tc>
          <w:tcPr>
            <w:tcW w:w="2413" w:type="dxa"/>
            <w:textDirection w:val="lrTb"/>
            <w:noWrap w:val="false"/>
          </w:tcPr>
          <w:p>
            <w:pPr>
              <w:ind w:right="45"/>
              <w:jc w:val="center"/>
              <w:tabs>
                <w:tab w:val="left" w:pos="-3684" w:leader="none"/>
              </w:tabs>
              <w:rPr>
                <w:b/>
                <w:szCs w:val="24"/>
              </w:rPr>
            </w:pPr>
            <w:r>
              <w:rPr>
                <w:b/>
                <w:szCs w:val="24"/>
              </w:rPr>
              <w:t xml:space="preserve">Рейтинг результативності</w:t>
            </w:r>
            <w:r/>
          </w:p>
        </w:tc>
        <w:tc>
          <w:tcPr>
            <w:gridSpan w:val="3"/>
            <w:tcW w:w="2387" w:type="dxa"/>
            <w:textDirection w:val="lrTb"/>
            <w:noWrap w:val="false"/>
          </w:tcPr>
          <w:p>
            <w:pPr>
              <w:ind w:right="45"/>
              <w:jc w:val="center"/>
              <w:tabs>
                <w:tab w:val="left" w:pos="-3684" w:leader="none"/>
              </w:tabs>
              <w:rPr>
                <w:b/>
                <w:szCs w:val="24"/>
              </w:rPr>
            </w:pPr>
            <w:r>
              <w:rPr>
                <w:b/>
                <w:szCs w:val="24"/>
              </w:rPr>
              <w:t xml:space="preserve">Вигоди (підсумок)</w:t>
            </w:r>
            <w:r/>
          </w:p>
        </w:tc>
        <w:tc>
          <w:tcPr>
            <w:gridSpan w:val="3"/>
            <w:tcW w:w="2368" w:type="dxa"/>
            <w:textDirection w:val="lrTb"/>
            <w:noWrap w:val="false"/>
          </w:tcPr>
          <w:p>
            <w:pPr>
              <w:ind w:right="45"/>
              <w:jc w:val="center"/>
              <w:tabs>
                <w:tab w:val="left" w:pos="-3684" w:leader="none"/>
              </w:tabs>
              <w:rPr>
                <w:b/>
                <w:szCs w:val="24"/>
              </w:rPr>
            </w:pPr>
            <w:r>
              <w:rPr>
                <w:b/>
                <w:szCs w:val="24"/>
              </w:rPr>
              <w:t xml:space="preserve">Витрати (підсумок)</w:t>
            </w:r>
            <w:r/>
          </w:p>
        </w:tc>
        <w:tc>
          <w:tcPr>
            <w:tcW w:w="2403" w:type="dxa"/>
            <w:textDirection w:val="lrTb"/>
            <w:noWrap w:val="false"/>
          </w:tcPr>
          <w:p>
            <w:pPr>
              <w:ind w:right="45"/>
              <w:jc w:val="center"/>
              <w:tabs>
                <w:tab w:val="left" w:pos="-3684" w:leader="none"/>
              </w:tabs>
              <w:rPr>
                <w:b/>
                <w:szCs w:val="24"/>
              </w:rPr>
            </w:pPr>
            <w:r>
              <w:rPr>
                <w:b/>
                <w:szCs w:val="24"/>
              </w:rPr>
              <w:t xml:space="preserve">Обґрунтування відповідного місця альтернативи у рейтингу</w:t>
            </w:r>
            <w:r/>
          </w:p>
        </w:tc>
      </w:tr>
      <w:tr>
        <w:trPr/>
        <w:tc>
          <w:tcPr>
            <w:tcBorders>
              <w:bottom w:val="single" w:sz="4" w:space="0" w:color="auto"/>
            </w:tcBorders>
            <w:tcW w:w="2413" w:type="dxa"/>
            <w:textDirection w:val="lrTb"/>
            <w:noWrap w:val="false"/>
          </w:tcPr>
          <w:p>
            <w:pPr>
              <w:jc w:val="both"/>
              <w:rPr>
                <w:sz w:val="24"/>
                <w:szCs w:val="24"/>
              </w:rPr>
            </w:pPr>
            <w:r>
              <w:rPr>
                <w:sz w:val="24"/>
                <w:szCs w:val="24"/>
              </w:rPr>
              <w:t xml:space="preserve">Прийняття Менською міською радою рішення </w:t>
            </w:r>
            <w:r>
              <w:rPr>
                <w:rStyle w:val="269"/>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269"/>
                <w:b w:val="false"/>
                <w:bCs w:val="false"/>
                <w:sz w:val="24"/>
                <w:szCs w:val="24"/>
                <w:shd w:val="clear" w:color="auto" w:fill="FFFFFF"/>
              </w:rPr>
              <w:t xml:space="preserve">»</w:t>
            </w:r>
            <w:r/>
          </w:p>
        </w:tc>
        <w:tc>
          <w:tcPr>
            <w:gridSpan w:val="3"/>
            <w:tcBorders>
              <w:bottom w:val="single" w:sz="4" w:space="0" w:color="auto"/>
            </w:tcBorders>
            <w:tcW w:w="2387"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w:t>
            </w:r>
            <w:r>
              <w:rPr>
                <w:sz w:val="24"/>
                <w:szCs w:val="24"/>
              </w:rPr>
              <w:t xml:space="preserve">уктури;  Отримання витягу із технічної документації про нормативно-грошову оцінку землі для сплати податку (орендної плати) за землю;</w:t>
            </w:r>
            <w:r/>
          </w:p>
          <w:p>
            <w:pPr>
              <w:ind w:right="45"/>
              <w:tabs>
                <w:tab w:val="left" w:pos="-3684" w:leader="none"/>
              </w:tabs>
              <w:rPr>
                <w:b/>
                <w:sz w:val="24"/>
                <w:szCs w:val="24"/>
              </w:rPr>
            </w:pPr>
            <w:r>
              <w:rPr>
                <w:sz w:val="24"/>
                <w:szCs w:val="24"/>
              </w:rPr>
              <w:t xml:space="preserve">Прозорий механізм затвердження нормативної грошової оцінки для розрахунку плати за землю</w:t>
            </w:r>
            <w:r/>
          </w:p>
        </w:tc>
        <w:tc>
          <w:tcPr>
            <w:gridSpan w:val="3"/>
            <w:tcBorders>
              <w:bottom w:val="single" w:sz="4" w:space="0" w:color="auto"/>
            </w:tcBorders>
            <w:tcW w:w="2368" w:type="dxa"/>
            <w:textDirection w:val="lrTb"/>
            <w:noWrap w:val="false"/>
          </w:tcPr>
          <w:p>
            <w:pPr>
              <w:ind w:right="45"/>
              <w:jc w:val="both"/>
              <w:tabs>
                <w:tab w:val="left" w:pos="-3684" w:leader="none"/>
              </w:tabs>
              <w:rPr>
                <w:b/>
                <w:sz w:val="24"/>
                <w:szCs w:val="24"/>
              </w:rPr>
            </w:pPr>
            <w:r>
              <w:rPr>
                <w:sz w:val="24"/>
                <w:szCs w:val="24"/>
              </w:rPr>
              <w:t xml:space="preserve">Інших витрат, крім визначених законодавством (плата за землю, тощо), не передбачає</w:t>
            </w:r>
            <w:r/>
          </w:p>
        </w:tc>
        <w:tc>
          <w:tcPr>
            <w:tcBorders>
              <w:bottom w:val="single" w:sz="4" w:space="0" w:color="auto"/>
            </w:tcBorders>
            <w:tcW w:w="2403"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 </w:t>
            </w:r>
            <w:r/>
            <w:r>
              <w:rPr>
                <w:sz w:val="24"/>
                <w:szCs w:val="24"/>
                <w:lang w:eastAsia="uk-UA"/>
              </w:rPr>
              <w:t xml:space="preserve">Забезпечення належного обчислення та справляння плати за землю. </w:t>
            </w:r>
            <w:r/>
            <w:r>
              <w:rPr>
                <w:sz w:val="24"/>
                <w:szCs w:val="24"/>
                <w:lang w:eastAsia="uk-UA"/>
              </w:rPr>
              <w:t xml:space="preserve">Сприяння належному оформленню міни, відчуження,  дарування тощо земельних ділянок. </w:t>
            </w:r>
            <w:r>
              <w:rPr>
                <w:sz w:val="24"/>
                <w:szCs w:val="24"/>
                <w:lang w:eastAsia="uk-UA"/>
              </w:rPr>
              <w:t xml:space="preserve">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r/>
            <w:r>
              <w:rPr>
                <w:sz w:val="24"/>
                <w:szCs w:val="24"/>
                <w:lang w:eastAsia="uk-UA"/>
              </w:rPr>
              <w:t xml:space="preserve">Забезпечення можливості отримання громадянами та суб’єктами господарювання у власність або користування </w:t>
            </w:r>
            <w:r>
              <w:rPr>
                <w:sz w:val="24"/>
                <w:szCs w:val="24"/>
                <w:lang w:eastAsia="uk-UA"/>
              </w:rPr>
              <w:t xml:space="preserve">земельних ділянок з числа земель державної та комунальної власності</w:t>
            </w:r>
            <w:r/>
          </w:p>
        </w:tc>
      </w:tr>
      <w:tr>
        <w:trPr/>
        <w:tc>
          <w:tcPr>
            <w:tcBorders>
              <w:bottom w:val="single" w:sz="4" w:space="0" w:color="auto"/>
            </w:tcBorders>
            <w:tcW w:w="2413" w:type="dxa"/>
            <w:textDirection w:val="lrTb"/>
            <w:noWrap w:val="false"/>
          </w:tcPr>
          <w:p>
            <w:pPr>
              <w:rPr>
                <w:bCs/>
                <w:sz w:val="24"/>
                <w:szCs w:val="24"/>
                <w:lang w:eastAsia="uk-UA"/>
              </w:rPr>
            </w:pPr>
            <w:r>
              <w:rPr>
                <w:sz w:val="24"/>
                <w:szCs w:val="24"/>
              </w:rPr>
              <w:t xml:space="preserve">Відсутність регулювання</w:t>
            </w:r>
            <w:r/>
          </w:p>
        </w:tc>
        <w:tc>
          <w:tcPr>
            <w:gridSpan w:val="3"/>
            <w:tcBorders>
              <w:bottom w:val="single" w:sz="4" w:space="0" w:color="auto"/>
            </w:tcBorders>
            <w:tcW w:w="2387" w:type="dxa"/>
            <w:textDirection w:val="lrTb"/>
            <w:noWrap w:val="false"/>
          </w:tcPr>
          <w:p>
            <w:pPr>
              <w:ind w:right="45"/>
              <w:jc w:val="center"/>
              <w:tabs>
                <w:tab w:val="left" w:pos="-3684" w:leader="none"/>
              </w:tabs>
              <w:rPr>
                <w:b/>
                <w:sz w:val="24"/>
                <w:szCs w:val="24"/>
              </w:rPr>
            </w:pPr>
            <w:r>
              <w:rPr>
                <w:b/>
                <w:sz w:val="24"/>
                <w:szCs w:val="24"/>
              </w:rPr>
              <w:t xml:space="preserve">-</w:t>
            </w:r>
            <w:r/>
          </w:p>
        </w:tc>
        <w:tc>
          <w:tcPr>
            <w:gridSpan w:val="3"/>
            <w:tcBorders>
              <w:bottom w:val="single" w:sz="4" w:space="0" w:color="auto"/>
            </w:tcBorders>
            <w:tcW w:w="2368" w:type="dxa"/>
            <w:textDirection w:val="lrTb"/>
            <w:noWrap w:val="false"/>
          </w:tcPr>
          <w:p>
            <w:pPr>
              <w:ind w:right="45"/>
              <w:jc w:val="both"/>
              <w:tabs>
                <w:tab w:val="left" w:pos="-3684" w:leader="none"/>
              </w:tabs>
              <w:rPr>
                <w:sz w:val="24"/>
                <w:szCs w:val="24"/>
              </w:rPr>
            </w:pPr>
            <w:r>
              <w:rPr>
                <w:sz w:val="24"/>
                <w:szCs w:val="24"/>
              </w:rPr>
              <w:t xml:space="preserve">Зменшення надходження коштів до бюджету </w:t>
            </w:r>
            <w:r/>
          </w:p>
        </w:tc>
        <w:tc>
          <w:tcPr>
            <w:tcBorders>
              <w:bottom w:val="single" w:sz="4" w:space="0" w:color="auto"/>
            </w:tcBorders>
            <w:tcW w:w="2403" w:type="dxa"/>
            <w:textDirection w:val="lrTb"/>
            <w:noWrap w:val="false"/>
          </w:tcPr>
          <w:p>
            <w:pPr>
              <w:ind w:right="45"/>
              <w:jc w:val="both"/>
              <w:tabs>
                <w:tab w:val="left" w:pos="-3684" w:leader="none"/>
              </w:tabs>
              <w:rPr>
                <w:b/>
                <w:sz w:val="24"/>
                <w:szCs w:val="24"/>
              </w:rPr>
            </w:pPr>
            <w:r>
              <w:rPr>
                <w:sz w:val="24"/>
                <w:szCs w:val="24"/>
              </w:rPr>
              <w:t xml:space="preserve">П</w:t>
            </w:r>
            <w:r>
              <w:rPr>
                <w:rStyle w:val="276"/>
                <w:sz w:val="24"/>
                <w:szCs w:val="24"/>
              </w:rPr>
              <w:t xml:space="preserve">латники плати за землю у 202</w:t>
            </w:r>
            <w:r>
              <w:rPr>
                <w:rStyle w:val="276"/>
              </w:rPr>
              <w:t xml:space="preserve">0</w:t>
            </w:r>
            <w:r>
              <w:rPr>
                <w:rStyle w:val="276"/>
                <w:sz w:val="24"/>
                <w:szCs w:val="24"/>
              </w:rPr>
              <w:t xml:space="preserve"> році будуть сплачувати земельний податок та орендну плату на підставі нормативної грошової оцінки земель, яка не відповідатиме вимогам законодавства</w:t>
            </w:r>
            <w:r>
              <w:rPr>
                <w:b/>
                <w:sz w:val="24"/>
                <w:szCs w:val="24"/>
              </w:rPr>
              <w:t xml:space="preserve"> </w:t>
            </w:r>
            <w:r/>
          </w:p>
        </w:tc>
      </w:tr>
      <w:tr>
        <w:trPr/>
        <w:tc>
          <w:tcPr>
            <w:tcBorders>
              <w:left w:val="none" w:color="000000" w:sz="4" w:space="0"/>
              <w:top w:val="single" w:sz="4" w:space="0" w:color="auto"/>
              <w:right w:val="none" w:color="000000" w:sz="4" w:space="0"/>
              <w:bottom w:val="none" w:color="000000" w:sz="4" w:space="0"/>
            </w:tcBorders>
            <w:tcW w:w="2413" w:type="dxa"/>
            <w:textDirection w:val="lrTb"/>
            <w:noWrap w:val="false"/>
          </w:tcPr>
          <w:p>
            <w:pPr>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87" w:type="dxa"/>
            <w:textDirection w:val="lrTb"/>
            <w:noWrap w:val="false"/>
          </w:tcPr>
          <w:p>
            <w:pPr>
              <w:ind w:right="45"/>
              <w:jc w:val="center"/>
              <w:tabs>
                <w:tab w:val="left" w:pos="-3684" w:leader="none"/>
              </w:tabs>
              <w:rPr>
                <w:b/>
                <w:sz w:val="24"/>
                <w:szCs w:val="24"/>
              </w:rPr>
            </w:pPr>
            <w:r>
              <w:rPr>
                <w:b/>
                <w:sz w:val="24"/>
                <w:szCs w:val="24"/>
              </w:rPr>
            </w:r>
            <w:r/>
          </w:p>
        </w:tc>
        <w:tc>
          <w:tcPr>
            <w:gridSpan w:val="3"/>
            <w:tcBorders>
              <w:left w:val="none" w:color="000000" w:sz="4" w:space="0"/>
              <w:top w:val="single" w:sz="4" w:space="0" w:color="auto"/>
              <w:right w:val="none" w:color="000000" w:sz="4" w:space="0"/>
              <w:bottom w:val="none" w:color="000000" w:sz="4" w:space="0"/>
            </w:tcBorders>
            <w:tcW w:w="2368" w:type="dxa"/>
            <w:textDirection w:val="lrTb"/>
            <w:noWrap w:val="false"/>
          </w:tcPr>
          <w:p>
            <w:pPr>
              <w:ind w:right="45"/>
              <w:jc w:val="both"/>
              <w:tabs>
                <w:tab w:val="left" w:pos="-3684" w:leader="none"/>
              </w:tabs>
              <w:rPr>
                <w:sz w:val="24"/>
                <w:szCs w:val="24"/>
              </w:rPr>
            </w:pPr>
            <w:r>
              <w:rPr>
                <w:sz w:val="24"/>
                <w:szCs w:val="24"/>
              </w:rPr>
            </w:r>
            <w:r/>
          </w:p>
        </w:tc>
        <w:tc>
          <w:tcPr>
            <w:tcBorders>
              <w:left w:val="none" w:color="000000" w:sz="4" w:space="0"/>
              <w:top w:val="single" w:sz="4" w:space="0" w:color="auto"/>
              <w:right w:val="none" w:color="000000" w:sz="4" w:space="0"/>
              <w:bottom w:val="none" w:color="000000" w:sz="4" w:space="0"/>
            </w:tcBorders>
            <w:tcW w:w="2403" w:type="dxa"/>
            <w:textDirection w:val="lrTb"/>
            <w:noWrap w:val="false"/>
          </w:tcPr>
          <w:p>
            <w:pPr>
              <w:ind w:right="45"/>
              <w:jc w:val="both"/>
              <w:tabs>
                <w:tab w:val="left" w:pos="-3684" w:leader="none"/>
              </w:tabs>
              <w:rPr>
                <w:sz w:val="24"/>
                <w:szCs w:val="24"/>
              </w:rPr>
            </w:pPr>
            <w:r>
              <w:rPr>
                <w:sz w:val="24"/>
                <w:szCs w:val="24"/>
              </w:rPr>
            </w:r>
            <w:r/>
          </w:p>
        </w:tc>
      </w:tr>
      <w:tr>
        <w:trPr/>
        <w:tc>
          <w:tcPr>
            <w:tcBorders>
              <w:left w:val="none" w:color="000000" w:sz="4" w:space="0"/>
              <w:top w:val="none" w:color="000000" w:sz="4" w:space="0"/>
              <w:right w:val="none" w:color="000000" w:sz="4" w:space="0"/>
              <w:bottom w:val="single" w:sz="4" w:space="0" w:color="auto"/>
            </w:tcBorders>
            <w:tcW w:w="2413" w:type="dxa"/>
            <w:textDirection w:val="lrTb"/>
            <w:noWrap w:val="false"/>
          </w:tcPr>
          <w:p>
            <w:pPr>
              <w:rPr>
                <w:sz w:val="24"/>
                <w:szCs w:val="24"/>
              </w:rPr>
            </w:pPr>
            <w:r>
              <w:rPr>
                <w:sz w:val="24"/>
                <w:szCs w:val="24"/>
              </w:rPr>
            </w:r>
            <w:r/>
          </w:p>
        </w:tc>
        <w:tc>
          <w:tcPr>
            <w:gridSpan w:val="3"/>
            <w:tcBorders>
              <w:left w:val="none" w:color="000000" w:sz="4" w:space="0"/>
              <w:top w:val="none" w:color="000000" w:sz="4" w:space="0"/>
              <w:right w:val="none" w:color="000000" w:sz="4" w:space="0"/>
              <w:bottom w:val="single" w:sz="4" w:space="0" w:color="auto"/>
            </w:tcBorders>
            <w:tcW w:w="2387" w:type="dxa"/>
            <w:textDirection w:val="lrTb"/>
            <w:noWrap w:val="false"/>
          </w:tcPr>
          <w:p>
            <w:pPr>
              <w:ind w:right="45"/>
              <w:jc w:val="center"/>
              <w:tabs>
                <w:tab w:val="left" w:pos="-3684" w:leader="none"/>
              </w:tabs>
              <w:rPr>
                <w:b/>
                <w:sz w:val="24"/>
                <w:szCs w:val="24"/>
              </w:rPr>
            </w:pPr>
            <w:r>
              <w:rPr>
                <w:b/>
                <w:sz w:val="24"/>
                <w:szCs w:val="24"/>
              </w:rPr>
            </w:r>
            <w:r/>
          </w:p>
        </w:tc>
        <w:tc>
          <w:tcPr>
            <w:gridSpan w:val="3"/>
            <w:tcBorders>
              <w:left w:val="none" w:color="000000" w:sz="4" w:space="0"/>
              <w:top w:val="none" w:color="000000" w:sz="4" w:space="0"/>
              <w:right w:val="none" w:color="000000" w:sz="4" w:space="0"/>
              <w:bottom w:val="single" w:sz="4" w:space="0" w:color="auto"/>
            </w:tcBorders>
            <w:tcW w:w="2368" w:type="dxa"/>
            <w:textDirection w:val="lrTb"/>
            <w:noWrap w:val="false"/>
          </w:tcPr>
          <w:p>
            <w:pPr>
              <w:ind w:right="45"/>
              <w:jc w:val="both"/>
              <w:tabs>
                <w:tab w:val="left" w:pos="-3684" w:leader="none"/>
              </w:tabs>
              <w:rPr>
                <w:sz w:val="24"/>
                <w:szCs w:val="24"/>
              </w:rPr>
            </w:pPr>
            <w:r>
              <w:rPr>
                <w:sz w:val="24"/>
                <w:szCs w:val="24"/>
              </w:rPr>
            </w:r>
            <w:r/>
          </w:p>
        </w:tc>
        <w:tc>
          <w:tcPr>
            <w:tcBorders>
              <w:left w:val="none" w:color="000000" w:sz="4" w:space="0"/>
              <w:top w:val="none" w:color="000000" w:sz="4" w:space="0"/>
              <w:right w:val="none" w:color="000000" w:sz="4" w:space="0"/>
              <w:bottom w:val="single" w:sz="4" w:space="0" w:color="auto"/>
            </w:tcBorders>
            <w:tcW w:w="2403" w:type="dxa"/>
            <w:textDirection w:val="lrTb"/>
            <w:noWrap w:val="false"/>
          </w:tcPr>
          <w:p>
            <w:pPr>
              <w:ind w:right="45"/>
              <w:jc w:val="both"/>
              <w:tabs>
                <w:tab w:val="left" w:pos="-3684" w:leader="none"/>
              </w:tabs>
              <w:rPr>
                <w:sz w:val="24"/>
                <w:szCs w:val="24"/>
              </w:rPr>
            </w:pPr>
            <w:r>
              <w:rPr>
                <w:sz w:val="24"/>
                <w:szCs w:val="24"/>
              </w:rPr>
            </w:r>
            <w:r/>
          </w:p>
        </w:tc>
      </w:tr>
      <w:tr>
        <w:trPr/>
        <w:tc>
          <w:tcPr>
            <w:gridSpan w:val="3"/>
            <w:tcBorders>
              <w:top w:val="single" w:sz="4" w:space="0" w:color="auto"/>
            </w:tcBorders>
            <w:tcW w:w="3166" w:type="dxa"/>
            <w:textDirection w:val="lrTb"/>
            <w:noWrap w:val="false"/>
          </w:tcPr>
          <w:p>
            <w:pPr>
              <w:ind w:right="45"/>
              <w:jc w:val="center"/>
              <w:tabs>
                <w:tab w:val="left" w:pos="-3684" w:leader="none"/>
              </w:tabs>
              <w:rPr>
                <w:b/>
                <w:sz w:val="24"/>
                <w:szCs w:val="24"/>
              </w:rPr>
            </w:pPr>
            <w:r>
              <w:rPr>
                <w:b/>
                <w:sz w:val="24"/>
                <w:szCs w:val="24"/>
              </w:rPr>
              <w:t xml:space="preserve">Рейтинг</w:t>
            </w:r>
            <w:r/>
          </w:p>
        </w:tc>
        <w:tc>
          <w:tcPr>
            <w:gridSpan w:val="3"/>
            <w:tcBorders>
              <w:top w:val="single" w:sz="4" w:space="0" w:color="auto"/>
            </w:tcBorders>
            <w:tcW w:w="3243" w:type="dxa"/>
            <w:textDirection w:val="lrTb"/>
            <w:noWrap w:val="false"/>
          </w:tcPr>
          <w:p>
            <w:pPr>
              <w:ind w:right="45"/>
              <w:jc w:val="both"/>
              <w:tabs>
                <w:tab w:val="left" w:pos="-3684" w:leader="none"/>
              </w:tabs>
              <w:rPr>
                <w:b/>
                <w:sz w:val="24"/>
                <w:szCs w:val="24"/>
              </w:rPr>
            </w:pPr>
            <w:r>
              <w:rPr>
                <w:b/>
                <w:sz w:val="24"/>
                <w:szCs w:val="24"/>
              </w:rPr>
              <w:t xml:space="preserve">Аргументи щодо обраної </w:t>
            </w:r>
            <w:r>
              <w:rPr>
                <w:rStyle w:val="274"/>
                <w:b/>
                <w:sz w:val="24"/>
                <w:szCs w:val="24"/>
              </w:rPr>
              <w:t xml:space="preserve">альтернативи/причини відмови від альтернативи</w:t>
            </w:r>
            <w:r>
              <w:rPr>
                <w:b/>
                <w:sz w:val="24"/>
                <w:szCs w:val="24"/>
              </w:rPr>
              <w:t xml:space="preserve"> </w:t>
            </w:r>
            <w:r/>
          </w:p>
        </w:tc>
        <w:tc>
          <w:tcPr>
            <w:gridSpan w:val="2"/>
            <w:tcBorders>
              <w:top w:val="single" w:sz="4" w:space="0" w:color="auto"/>
            </w:tcBorders>
            <w:tcW w:w="3162" w:type="dxa"/>
            <w:textDirection w:val="lrTb"/>
            <w:noWrap w:val="false"/>
          </w:tcPr>
          <w:p>
            <w:pPr>
              <w:ind w:right="45"/>
              <w:jc w:val="both"/>
              <w:tabs>
                <w:tab w:val="left" w:pos="-3684" w:leader="none"/>
              </w:tabs>
              <w:rPr>
                <w:b/>
                <w:sz w:val="24"/>
                <w:szCs w:val="24"/>
              </w:rPr>
            </w:pPr>
            <w:r>
              <w:rPr>
                <w:b/>
                <w:sz w:val="24"/>
                <w:szCs w:val="24"/>
              </w:rPr>
              <w:t xml:space="preserve">Оцінка ризику зовнішніх </w:t>
            </w:r>
            <w:r>
              <w:rPr>
                <w:rStyle w:val="274"/>
                <w:b/>
                <w:sz w:val="24"/>
                <w:szCs w:val="24"/>
              </w:rPr>
              <w:t xml:space="preserve">чинників на дію запропонованого регуляторного акта</w:t>
            </w:r>
            <w:r/>
          </w:p>
        </w:tc>
      </w:tr>
      <w:tr>
        <w:trPr/>
        <w:tc>
          <w:tcPr>
            <w:gridSpan w:val="3"/>
            <w:tcW w:w="3166" w:type="dxa"/>
            <w:textDirection w:val="lrTb"/>
            <w:noWrap w:val="false"/>
          </w:tcPr>
          <w:p>
            <w:pPr>
              <w:jc w:val="both"/>
              <w:rPr>
                <w:sz w:val="24"/>
                <w:szCs w:val="24"/>
              </w:rPr>
            </w:pPr>
            <w:r>
              <w:rPr>
                <w:sz w:val="24"/>
                <w:szCs w:val="24"/>
              </w:rPr>
              <w:t xml:space="preserve">Прийняття Менською міською радою рішення </w:t>
            </w:r>
            <w:r>
              <w:rPr>
                <w:rStyle w:val="269"/>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269"/>
                <w:b w:val="false"/>
                <w:bCs w:val="false"/>
                <w:sz w:val="24"/>
                <w:szCs w:val="24"/>
                <w:shd w:val="clear" w:color="auto" w:fill="FFFFFF"/>
              </w:rPr>
              <w:t xml:space="preserve">»</w:t>
            </w:r>
            <w:r/>
          </w:p>
        </w:tc>
        <w:tc>
          <w:tcPr>
            <w:gridSpan w:val="3"/>
            <w:tcW w:w="3243"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r/>
          </w:p>
          <w:p>
            <w:pPr>
              <w:ind w:right="45"/>
              <w:tabs>
                <w:tab w:val="left" w:pos="-3684" w:leader="none"/>
              </w:tabs>
              <w:rPr>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r/>
          </w:p>
        </w:tc>
        <w:tc>
          <w:tcPr>
            <w:gridSpan w:val="2"/>
            <w:tcW w:w="3162" w:type="dxa"/>
            <w:textDirection w:val="lrTb"/>
            <w:noWrap w:val="false"/>
          </w:tcPr>
          <w:p>
            <w:pPr>
              <w:ind w:right="45"/>
              <w:tabs>
                <w:tab w:val="left" w:pos="-3684" w:leader="none"/>
              </w:tabs>
              <w:rPr>
                <w:sz w:val="24"/>
                <w:szCs w:val="24"/>
              </w:rPr>
            </w:pPr>
            <w:r>
              <w:rPr>
                <w:sz w:val="24"/>
                <w:szCs w:val="24"/>
              </w:rPr>
              <w:t xml:space="preserve">Відсутній ризик зовнішніх </w:t>
            </w:r>
            <w:r>
              <w:rPr>
                <w:rStyle w:val="274"/>
                <w:sz w:val="24"/>
                <w:szCs w:val="24"/>
              </w:rPr>
              <w:t xml:space="preserve">чинників на дію запропонованого регуляторного акта</w:t>
            </w:r>
            <w:r/>
          </w:p>
        </w:tc>
      </w:tr>
      <w:tr>
        <w:trPr/>
        <w:tc>
          <w:tcPr>
            <w:gridSpan w:val="3"/>
            <w:tcW w:w="3166" w:type="dxa"/>
            <w:textDirection w:val="lrTb"/>
            <w:noWrap w:val="false"/>
          </w:tcPr>
          <w:p>
            <w:pPr>
              <w:rPr>
                <w:bCs/>
                <w:sz w:val="24"/>
                <w:szCs w:val="24"/>
                <w:lang w:eastAsia="uk-UA"/>
              </w:rPr>
            </w:pPr>
            <w:r>
              <w:rPr>
                <w:sz w:val="24"/>
                <w:szCs w:val="24"/>
              </w:rPr>
              <w:t xml:space="preserve">Відсутність регулювання </w:t>
            </w:r>
            <w:r/>
          </w:p>
        </w:tc>
        <w:tc>
          <w:tcPr>
            <w:gridSpan w:val="3"/>
            <w:tcW w:w="3243" w:type="dxa"/>
            <w:textDirection w:val="lrTb"/>
            <w:noWrap w:val="false"/>
          </w:tcPr>
          <w:p>
            <w:pPr>
              <w:jc w:val="both"/>
              <w:rPr>
                <w:sz w:val="24"/>
                <w:szCs w:val="24"/>
              </w:rPr>
            </w:pPr>
            <w:r>
              <w:rPr>
                <w:sz w:val="24"/>
                <w:szCs w:val="24"/>
              </w:rPr>
              <w:t xml:space="preserve">Неприйняття зазначеного рішення веде до порушення вимог  ст. 18  </w:t>
            </w:r>
            <w:r>
              <w:rPr>
                <w:sz w:val="24"/>
                <w:szCs w:val="24"/>
                <w:lang w:eastAsia="uk-UA"/>
              </w:rPr>
              <w:t xml:space="preserve">Закону України «Про оцінку земель»</w:t>
            </w:r>
            <w:r>
              <w:rPr>
                <w:sz w:val="24"/>
                <w:szCs w:val="24"/>
              </w:rPr>
              <w:t xml:space="preserve">, </w:t>
            </w:r>
            <w:r/>
            <w:r>
              <w:rPr>
                <w:b/>
                <w:sz w:val="24"/>
                <w:szCs w:val="24"/>
              </w:rPr>
            </w:r>
            <w:r/>
          </w:p>
        </w:tc>
        <w:tc>
          <w:tcPr>
            <w:gridSpan w:val="2"/>
            <w:tcW w:w="3162" w:type="dxa"/>
            <w:textDirection w:val="lrTb"/>
            <w:noWrap w:val="false"/>
          </w:tcPr>
          <w:p>
            <w:pPr>
              <w:ind w:right="45"/>
              <w:jc w:val="center"/>
              <w:tabs>
                <w:tab w:val="left" w:pos="-3684" w:leader="none"/>
              </w:tabs>
              <w:rPr>
                <w:b/>
                <w:sz w:val="24"/>
                <w:szCs w:val="24"/>
              </w:rPr>
            </w:pPr>
            <w:r>
              <w:rPr>
                <w:sz w:val="24"/>
                <w:szCs w:val="24"/>
              </w:rPr>
              <w:t xml:space="preserve">-</w:t>
            </w:r>
            <w:r/>
          </w:p>
        </w:tc>
      </w:tr>
    </w:tbl>
    <w:p>
      <w:pPr>
        <w:ind w:left="450" w:right="450"/>
        <w:jc w:val="center"/>
        <w:rPr>
          <w:sz w:val="24"/>
          <w:szCs w:val="24"/>
        </w:rPr>
      </w:pPr>
      <w:r>
        <w:rPr>
          <w:sz w:val="24"/>
          <w:szCs w:val="24"/>
        </w:rPr>
      </w:r>
      <w:r/>
    </w:p>
    <w:p>
      <w:pPr>
        <w:pStyle w:val="191"/>
        <w:jc w:val="center"/>
        <w:spacing w:after="0" w:before="120"/>
        <w:rPr>
          <w:rFonts w:ascii="Times New Roman" w:hAnsi="Times New Roman"/>
        </w:rPr>
      </w:pPr>
      <w:r/>
      <w:bookmarkStart w:id="18" w:name="n84"/>
      <w:r/>
      <w:bookmarkStart w:id="19" w:name="n93"/>
      <w:r/>
      <w:bookmarkEnd w:id="18"/>
      <w:r/>
      <w:bookmarkEnd w:id="19"/>
      <w:r>
        <w:rPr>
          <w:rFonts w:ascii="Times New Roman" w:hAnsi="Times New Roman"/>
        </w:rPr>
        <w:t xml:space="preserve">V. Механізми та заходи, які забезпечать розв'язання визначеної проблеми</w:t>
      </w:r>
      <w:r/>
    </w:p>
    <w:p>
      <w:pPr>
        <w:pStyle w:val="275"/>
        <w:jc w:val="both"/>
        <w:rPr>
          <w:rStyle w:val="276"/>
          <w:rFonts w:ascii="Times New Roman" w:hAnsi="Times New Roman"/>
          <w:sz w:val="24"/>
          <w:szCs w:val="24"/>
          <w:lang w:val="uk-UA"/>
        </w:rPr>
      </w:pPr>
      <w:r>
        <w:rPr>
          <w:rStyle w:val="276"/>
          <w:rFonts w:ascii="Times New Roman" w:hAnsi="Times New Roman"/>
          <w:sz w:val="24"/>
          <w:szCs w:val="24"/>
          <w:lang w:val="uk-UA"/>
        </w:rPr>
        <w:t xml:space="preserve">   1. Прийняття рішення «</w:t>
      </w:r>
      <w:r>
        <w:rPr>
          <w:rFonts w:ascii="Times New Roman" w:hAnsi="Times New Roman"/>
          <w:sz w:val="24"/>
          <w:szCs w:val="24"/>
          <w:lang w:val="uk-UA"/>
        </w:rPr>
        <w:t xml:space="preserve">Про затвердження матеріалів нормативної грошової оцінки земель населених пунктів» </w:t>
      </w:r>
      <w:r>
        <w:rPr>
          <w:rStyle w:val="276"/>
          <w:rFonts w:ascii="Times New Roman" w:hAnsi="Times New Roman"/>
          <w:sz w:val="24"/>
          <w:szCs w:val="24"/>
          <w:lang w:val="uk-UA"/>
        </w:rPr>
        <w:t xml:space="preserve"> з метою отримання зауважень та пропозицій.</w:t>
      </w:r>
      <w:r/>
    </w:p>
    <w:p>
      <w:pPr>
        <w:jc w:val="both"/>
        <w:rPr>
          <w:rStyle w:val="276"/>
          <w:sz w:val="24"/>
          <w:szCs w:val="24"/>
        </w:rPr>
      </w:pPr>
      <w:r>
        <w:rPr>
          <w:rStyle w:val="276"/>
          <w:sz w:val="24"/>
          <w:szCs w:val="24"/>
        </w:rPr>
        <w:t xml:space="preserve">   2. Врегулювання правовідносин між Менською міською радою та платниками плати за землю, збільшення надходжень до міського бюджету для виконання програм соціально – економічного розвитку міста шляхом затвердження нормативної грошової оцінки земель населени</w:t>
      </w:r>
      <w:r>
        <w:rPr>
          <w:sz w:val="24"/>
          <w:szCs w:val="24"/>
        </w:rPr>
        <w:t xml:space="preserve">х</w:t>
      </w:r>
      <w:r>
        <w:rPr>
          <w:sz w:val="24"/>
          <w:szCs w:val="24"/>
        </w:rPr>
        <w:t xml:space="preserve"> пунктів  на 2020 рік. </w:t>
      </w:r>
      <w:r/>
    </w:p>
    <w:p>
      <w:pPr>
        <w:ind w:firstLine="708"/>
        <w:jc w:val="both"/>
        <w:rPr>
          <w:lang w:val="ru-RU" w:eastAsia="zh-CN"/>
        </w:rPr>
      </w:pPr>
      <w:r>
        <w:rPr>
          <w:rStyle w:val="276"/>
          <w:sz w:val="24"/>
          <w:szCs w:val="24"/>
        </w:rPr>
        <w:t xml:space="preserve">3. </w:t>
      </w:r>
      <w:r>
        <w:rPr>
          <w:sz w:val="24"/>
          <w:szCs w:val="24"/>
          <w:lang w:eastAsia="zh-CN"/>
        </w:rPr>
        <w:t xml:space="preserve">Термін дії вказаного регуляторного акту необмежений. У разі потреби, за підсумками аналізу відстеження його результативності і при виникненні змін у чинному законодавстві, до нього вноситимуться відповідні зміни.</w:t>
      </w:r>
      <w:r/>
    </w:p>
    <w:p>
      <w:pPr>
        <w:pStyle w:val="191"/>
        <w:jc w:val="center"/>
        <w:rPr>
          <w:rFonts w:ascii="Times New Roman" w:hAnsi="Times New Roman"/>
        </w:rPr>
      </w:pPr>
      <w:r>
        <w:rPr>
          <w:rFonts w:ascii="Times New Roman" w:hAnsi="Times New Roman"/>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p>
    <w:p>
      <w:pPr>
        <w:ind w:right="45" w:firstLine="708"/>
        <w:jc w:val="both"/>
        <w:tabs>
          <w:tab w:val="left" w:pos="-3684" w:leader="none"/>
        </w:tabs>
        <w:rPr>
          <w:b/>
          <w:sz w:val="24"/>
          <w:szCs w:val="24"/>
          <w:u w:val="single"/>
        </w:rPr>
      </w:pPr>
      <w:r>
        <w:rPr>
          <w:b/>
          <w:sz w:val="24"/>
          <w:szCs w:val="24"/>
          <w:u w:val="single"/>
        </w:rPr>
      </w:r>
      <w:r/>
    </w:p>
    <w:p>
      <w:pPr>
        <w:ind w:firstLine="540"/>
        <w:jc w:val="both"/>
        <w:rPr>
          <w:sz w:val="24"/>
          <w:szCs w:val="24"/>
        </w:rPr>
      </w:pPr>
      <w:r>
        <w:rPr>
          <w:sz w:val="24"/>
          <w:szCs w:val="24"/>
        </w:rPr>
        <w:t xml:space="preserve">Прийняття регуляторного акта дозволить забезпечити надходження грошових коштів від земельного податку та орендної плати за землю  до бюджету міста у відповідності  з законодавством.</w:t>
      </w:r>
      <w:r/>
    </w:p>
    <w:p>
      <w:pPr>
        <w:ind w:firstLine="540"/>
        <w:jc w:val="both"/>
        <w:shd w:val="clear" w:color="auto" w:fill="FFFFFF"/>
        <w:rPr>
          <w:sz w:val="24"/>
          <w:szCs w:val="24"/>
        </w:rPr>
      </w:pPr>
      <w:r>
        <w:rPr>
          <w:sz w:val="24"/>
          <w:szCs w:val="24"/>
        </w:rPr>
        <w:t xml:space="preserve">Передбачається, що власники, користувачі та орендарі земельних ділянок  будуть неухильно виконувати вимоги запропонованого проекту рішення, тобто в повному обсязі та своєчасно вносити  плату за землю. </w:t>
      </w:r>
      <w:r/>
    </w:p>
    <w:p>
      <w:pPr>
        <w:ind w:firstLine="540"/>
        <w:jc w:val="both"/>
        <w:rPr>
          <w:sz w:val="24"/>
          <w:szCs w:val="24"/>
        </w:rPr>
      </w:pPr>
      <w:r>
        <w:rPr>
          <w:sz w:val="24"/>
          <w:szCs w:val="24"/>
        </w:rPr>
        <w:t xml:space="preserve">Впровадження та виконання вимог проекту рішення не потребує забезпечення додаткових ресурсів. </w:t>
      </w:r>
      <w:r/>
    </w:p>
    <w:p>
      <w:pPr>
        <w:ind w:firstLine="540"/>
        <w:jc w:val="both"/>
        <w:rPr>
          <w:sz w:val="24"/>
          <w:szCs w:val="24"/>
        </w:rPr>
      </w:pPr>
      <w:r>
        <w:rPr>
          <w:sz w:val="24"/>
          <w:szCs w:val="24"/>
        </w:rPr>
        <w:t xml:space="preserve">Реалізація Проекту не передбачає здійснення бюджетних витрат на адміністрування регулювання для суб’єктів господарювання, акт спрямований на забезпечення належного функціонування існуючих механізмів, органів державної влади та місцевого самоврядування та не</w:t>
      </w:r>
      <w:r>
        <w:rPr>
          <w:sz w:val="24"/>
          <w:szCs w:val="24"/>
        </w:rPr>
        <w:t xml:space="preserve"> запроваджує нових механізмів, пов’язаних із витратами на відповідне адміністрування. </w:t>
      </w:r>
      <w:r/>
    </w:p>
    <w:p>
      <w:pPr>
        <w:pStyle w:val="191"/>
        <w:jc w:val="both"/>
        <w:spacing w:after="0" w:before="120"/>
        <w:rPr>
          <w:rFonts w:ascii="Times New Roman" w:hAnsi="Times New Roman"/>
        </w:rPr>
      </w:pPr>
      <w:r>
        <w:rPr>
          <w:rFonts w:ascii="Times New Roman" w:hAnsi="Times New Roman"/>
        </w:rPr>
        <w:t xml:space="preserve">VII. Обґрунтування запропонованого строку дії регуляторного акта</w:t>
      </w:r>
      <w:r/>
    </w:p>
    <w:p>
      <w:pPr>
        <w:ind w:firstLine="708"/>
        <w:jc w:val="both"/>
        <w:rPr>
          <w:rStyle w:val="276"/>
          <w:sz w:val="24"/>
          <w:szCs w:val="24"/>
        </w:rPr>
      </w:pPr>
      <w:r>
        <w:rPr>
          <w:rStyle w:val="276"/>
          <w:sz w:val="24"/>
          <w:szCs w:val="24"/>
        </w:rPr>
        <w:t xml:space="preserve">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w:t>
      </w:r>
      <w:r>
        <w:rPr>
          <w:sz w:val="24"/>
          <w:szCs w:val="24"/>
        </w:rPr>
        <w:t xml:space="preserve">та знизити рівень надходження п</w:t>
      </w:r>
      <w:r>
        <w:rPr>
          <w:sz w:val="24"/>
          <w:szCs w:val="24"/>
        </w:rPr>
        <w:t xml:space="preserve">одатку. Значні темпи призводять до зниження попиту на користування земельними ділянками, та призводять до відмови від користування землею. Ці фактори можуть значно знизити привабливість  використання земель для суб’єктів господарювання.</w:t>
      </w:r>
      <w:r/>
    </w:p>
    <w:p>
      <w:pPr>
        <w:ind w:firstLine="708"/>
        <w:jc w:val="both"/>
        <w:rPr>
          <w:rStyle w:val="276"/>
          <w:sz w:val="24"/>
          <w:szCs w:val="24"/>
        </w:rPr>
      </w:pPr>
      <w:r>
        <w:rPr>
          <w:rStyle w:val="276"/>
          <w:sz w:val="24"/>
          <w:szCs w:val="24"/>
        </w:rPr>
        <w:t xml:space="preserve">Позитивно на дію цього регуляторного акта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r/>
    </w:p>
    <w:p>
      <w:pPr>
        <w:ind w:firstLine="708"/>
        <w:jc w:val="both"/>
        <w:rPr>
          <w:sz w:val="24"/>
          <w:szCs w:val="24"/>
        </w:rPr>
      </w:pPr>
      <w:r>
        <w:rPr>
          <w:sz w:val="24"/>
          <w:szCs w:val="24"/>
        </w:rPr>
        <w:t xml:space="preserve">Передбачається, що регуляторний акт діятиме до наступного оновлення нормативної грошової оцінки земель населених пунктів в порядку, визначеному законодавством України, а саме протягом 5-7 років. </w:t>
      </w:r>
      <w:r/>
    </w:p>
    <w:p>
      <w:pPr>
        <w:ind w:firstLine="708"/>
        <w:jc w:val="both"/>
        <w:rPr>
          <w:sz w:val="24"/>
          <w:szCs w:val="24"/>
        </w:rPr>
      </w:pPr>
      <w:r>
        <w:rPr>
          <w:sz w:val="24"/>
          <w:szCs w:val="24"/>
        </w:rPr>
      </w:r>
      <w:r/>
    </w:p>
    <w:p>
      <w:pPr>
        <w:pStyle w:val="191"/>
        <w:jc w:val="center"/>
        <w:spacing w:after="0" w:before="120"/>
        <w:rPr>
          <w:rFonts w:ascii="Times New Roman" w:hAnsi="Times New Roman"/>
        </w:rPr>
      </w:pPr>
      <w:r>
        <w:rPr>
          <w:rFonts w:ascii="Times New Roman" w:hAnsi="Times New Roman"/>
        </w:rPr>
        <w:t xml:space="preserve">VIII. Визначення показників результативності дії регуляторного акта</w:t>
      </w:r>
      <w:r/>
    </w:p>
    <w:p>
      <w:pPr>
        <w:jc w:val="both"/>
        <w:rPr>
          <w:sz w:val="24"/>
          <w:szCs w:val="24"/>
        </w:rPr>
      </w:pPr>
      <w:r>
        <w:rPr>
          <w:sz w:val="24"/>
          <w:szCs w:val="24"/>
        </w:rPr>
        <w:t xml:space="preserve">Результативність буде відстежуватися шляхом:</w:t>
      </w:r>
      <w:r/>
    </w:p>
    <w:p>
      <w:pPr>
        <w:ind w:firstLine="540"/>
        <w:jc w:val="both"/>
        <w:rPr>
          <w:sz w:val="24"/>
          <w:szCs w:val="24"/>
        </w:rPr>
      </w:pPr>
      <w:r>
        <w:rPr>
          <w:sz w:val="24"/>
          <w:szCs w:val="24"/>
        </w:rPr>
        <w:t xml:space="preserve">- аналізу розміру надходжень плати за землю до бюджету міста;</w:t>
      </w:r>
      <w:r/>
    </w:p>
    <w:p>
      <w:pPr>
        <w:ind w:firstLine="540"/>
        <w:jc w:val="both"/>
        <w:rPr>
          <w:sz w:val="24"/>
          <w:szCs w:val="24"/>
        </w:rPr>
      </w:pPr>
      <w:r>
        <w:rPr>
          <w:sz w:val="24"/>
          <w:szCs w:val="24"/>
        </w:rPr>
        <w:t xml:space="preserve">- аналізу кількості платників земельного податку та орендної плати;</w:t>
      </w:r>
      <w:r/>
    </w:p>
    <w:p>
      <w:pPr>
        <w:ind w:firstLine="540"/>
        <w:jc w:val="both"/>
        <w:rPr>
          <w:sz w:val="24"/>
          <w:szCs w:val="24"/>
        </w:rPr>
      </w:pPr>
      <w:r>
        <w:rPr>
          <w:sz w:val="24"/>
          <w:szCs w:val="24"/>
        </w:rPr>
        <w:t xml:space="preserve">- аналіз надходжень  державного мита від правочинів по укладання договорів міни, дарування, спадкування тощо земельних ділянок. </w:t>
      </w:r>
      <w:r/>
    </w:p>
    <w:p>
      <w:pPr>
        <w:ind w:firstLine="540"/>
        <w:jc w:val="both"/>
        <w:rPr>
          <w:sz w:val="24"/>
          <w:szCs w:val="24"/>
        </w:rPr>
      </w:pPr>
      <w:r>
        <w:rPr>
          <w:sz w:val="24"/>
          <w:szCs w:val="24"/>
        </w:rPr>
      </w:r>
      <w:r/>
    </w:p>
    <w:p>
      <w:pPr>
        <w:pStyle w:val="191"/>
        <w:jc w:val="center"/>
        <w:spacing w:after="0" w:before="120"/>
        <w:rPr>
          <w:rFonts w:ascii="Times New Roman" w:hAnsi="Times New Roman"/>
        </w:rPr>
      </w:pPr>
      <w:r>
        <w:rPr>
          <w:rFonts w:ascii="Times New Roman" w:hAnsi="Times New Roman"/>
        </w:rPr>
        <w:t xml:space="preserve">IX. Визначення заходів, за допомогою яких здійснюватиметься відстеження результативності дії регуляторного акта</w:t>
      </w:r>
      <w:r/>
    </w:p>
    <w:p>
      <w:pPr>
        <w:contextualSpacing w:val="true"/>
        <w:ind w:firstLine="709"/>
        <w:jc w:val="both"/>
        <w:rPr>
          <w:sz w:val="24"/>
          <w:szCs w:val="24"/>
          <w:lang w:val="ru-RU" w:eastAsia="zh-CN"/>
        </w:rPr>
      </w:pPr>
      <w:r>
        <w:rPr>
          <w:sz w:val="24"/>
          <w:szCs w:val="24"/>
          <w:lang w:eastAsia="zh-CN"/>
        </w:rPr>
        <w:t xml:space="preserve">Базове відстеження результативності вищезазначеного регуляторного акта буде здійснюватися до дати набрання чинності цим актом шляхом збору пропозицій і зауважень та їх аналізу.</w:t>
      </w:r>
      <w:r/>
    </w:p>
    <w:p>
      <w:pPr>
        <w:contextualSpacing w:val="true"/>
        <w:ind w:firstLine="709"/>
        <w:jc w:val="both"/>
        <w:rPr>
          <w:sz w:val="24"/>
          <w:szCs w:val="24"/>
          <w:lang w:eastAsia="zh-CN"/>
        </w:rPr>
      </w:pPr>
      <w:r>
        <w:rPr>
          <w:sz w:val="24"/>
          <w:szCs w:val="24"/>
          <w:lang w:eastAsia="zh-CN"/>
        </w:rPr>
        <w:t xml:space="preserve">Повторне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w:t>
      </w:r>
      <w:r>
        <w:rPr>
          <w:sz w:val="24"/>
          <w:szCs w:val="24"/>
          <w:lang w:eastAsia="zh-CN"/>
        </w:rPr>
        <w:t xml:space="preserve">азників дії цього акта, такі  питання будуть врегульовані шляхом внесення відповідних змін.</w:t>
      </w:r>
      <w:r/>
    </w:p>
    <w:p>
      <w:pPr>
        <w:contextualSpacing w:val="true"/>
        <w:ind w:firstLine="709"/>
        <w:jc w:val="both"/>
        <w:rPr>
          <w:sz w:val="24"/>
          <w:szCs w:val="24"/>
          <w:lang w:val="ru-RU" w:eastAsia="zh-CN"/>
        </w:rPr>
      </w:pPr>
      <w:r>
        <w:rPr>
          <w:sz w:val="24"/>
          <w:szCs w:val="24"/>
          <w:lang w:eastAsia="zh-CN"/>
        </w:rPr>
        <w:t xml:space="preserve">Періодичне відстеження має здійснюватися раз на два роки, починаючи з дня виконання заходів з повторного відстеження </w:t>
      </w:r>
      <w:r/>
    </w:p>
    <w:p>
      <w:pPr>
        <w:contextualSpacing w:val="true"/>
        <w:ind w:firstLine="709"/>
        <w:jc w:val="both"/>
        <w:rPr>
          <w:sz w:val="24"/>
          <w:szCs w:val="24"/>
          <w:lang w:val="ru-RU" w:eastAsia="zh-CN"/>
        </w:rPr>
      </w:pPr>
      <w:r>
        <w:rPr>
          <w:sz w:val="24"/>
          <w:szCs w:val="24"/>
          <w:lang w:eastAsia="zh-CN"/>
        </w:rPr>
        <w:t xml:space="preserve">Відстеження результативності вищезазначеного регуляторного акта проводитиметься шляхом розгляду пропозицій та зауважень від фізичних та юридичних осіб, які надходитимуть до міської ради. Видами даних, за допомогою яких здійснюватиметься відстеження результа</w:t>
      </w:r>
      <w:r>
        <w:rPr>
          <w:sz w:val="24"/>
          <w:szCs w:val="24"/>
          <w:lang w:eastAsia="zh-CN"/>
        </w:rPr>
        <w:t xml:space="preserve">тивності є кількість демонтованих об’єктів.</w:t>
      </w:r>
      <w:r/>
    </w:p>
    <w:p>
      <w:pPr>
        <w:jc w:val="both"/>
        <w:rPr>
          <w:lang w:val="ru-RU" w:eastAsia="zh-CN"/>
        </w:rPr>
      </w:pPr>
      <w:r>
        <w:rPr>
          <w:lang w:val="ru-RU" w:eastAsia="zh-CN"/>
        </w:rPr>
      </w:r>
      <w:r/>
    </w:p>
    <w:p>
      <w:pPr>
        <w:jc w:val="both"/>
        <w:rPr>
          <w:lang w:eastAsia="zh-CN"/>
        </w:rPr>
      </w:pPr>
      <w:r>
        <w:rPr>
          <w:rFonts w:eastAsia="Times New Roman CYR"/>
          <w:sz w:val="24"/>
          <w:szCs w:val="24"/>
          <w:lang w:eastAsia="zh-CN"/>
        </w:rPr>
        <w:tab/>
      </w:r>
      <w:r>
        <w:rPr>
          <w:sz w:val="24"/>
          <w:szCs w:val="24"/>
          <w:lang w:eastAsia="zh-CN"/>
        </w:rPr>
        <w:t xml:space="preserve">Пропозиції і зауваження до проекту рішення приймаються письмово від фізичних і юридичних осіб протягом одного місяця з дня його публікації за адресою: вул. Сергія Титаренка, 7 м. Мена, відділ земельних відносин Менської міської ради.</w:t>
      </w:r>
      <w:r/>
    </w:p>
    <w:sectPr>
      <w:footnotePr/>
      <w:type w:val="nextPage"/>
      <w:pgSz w:w="11906" w:h="16838"/>
      <w:pgMar w:top="737" w:right="851" w:bottom="793"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503050405090304"/>
  </w:font>
  <w:font w:name="Symbol">
    <w:panose1 w:val="05010000000000000000"/>
  </w:font>
  <w:font w:name="Wingdings">
    <w:panose1 w:val="05030102010509060703"/>
  </w:font>
  <w:font w:name="Courier New">
    <w:panose1 w:val="02070309020205020404"/>
  </w:font>
  <w:font w:name="Segoe UI">
    <w:panose1 w:val="020B0502040504020204"/>
  </w:font>
  <w:font w:name="Calibri Light">
    <w:panose1 w:val="020F050202020403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86" w:hanging="359"/>
      </w:pPr>
    </w:lvl>
    <w:lvl w:ilvl="1">
      <w:start w:val="1"/>
      <w:numFmt w:val="lowerLetter"/>
      <w:suff w:val="tab"/>
      <w:lvlText w:val="%2."/>
      <w:lvlJc w:val="left"/>
      <w:pPr>
        <w:ind w:left="1506" w:hanging="359"/>
      </w:pPr>
    </w:lvl>
    <w:lvl w:ilvl="2">
      <w:start w:val="1"/>
      <w:numFmt w:val="lowerRoman"/>
      <w:suff w:val="tab"/>
      <w:lvlText w:val="%3."/>
      <w:lvlJc w:val="right"/>
      <w:pPr>
        <w:ind w:left="2226" w:hanging="179"/>
      </w:pPr>
    </w:lvl>
    <w:lvl w:ilvl="3">
      <w:start w:val="1"/>
      <w:numFmt w:val="decimal"/>
      <w:suff w:val="tab"/>
      <w:lvlText w:val="%4."/>
      <w:lvlJc w:val="left"/>
      <w:pPr>
        <w:ind w:left="2946" w:hanging="359"/>
      </w:pPr>
    </w:lvl>
    <w:lvl w:ilvl="4">
      <w:start w:val="1"/>
      <w:numFmt w:val="lowerLetter"/>
      <w:suff w:val="tab"/>
      <w:lvlText w:val="%5."/>
      <w:lvlJc w:val="left"/>
      <w:pPr>
        <w:ind w:left="3666" w:hanging="359"/>
      </w:pPr>
    </w:lvl>
    <w:lvl w:ilvl="5">
      <w:start w:val="1"/>
      <w:numFmt w:val="lowerRoman"/>
      <w:suff w:val="tab"/>
      <w:lvlText w:val="%6."/>
      <w:lvlJc w:val="right"/>
      <w:pPr>
        <w:ind w:left="4386" w:hanging="179"/>
      </w:pPr>
    </w:lvl>
    <w:lvl w:ilvl="6">
      <w:start w:val="1"/>
      <w:numFmt w:val="decimal"/>
      <w:suff w:val="tab"/>
      <w:lvlText w:val="%7."/>
      <w:lvlJc w:val="left"/>
      <w:pPr>
        <w:ind w:left="5106" w:hanging="359"/>
      </w:pPr>
    </w:lvl>
    <w:lvl w:ilvl="7">
      <w:start w:val="1"/>
      <w:numFmt w:val="lowerLetter"/>
      <w:suff w:val="tab"/>
      <w:lvlText w:val="%8."/>
      <w:lvlJc w:val="left"/>
      <w:pPr>
        <w:ind w:left="5826" w:hanging="359"/>
      </w:pPr>
    </w:lvl>
    <w:lvl w:ilvl="8">
      <w:start w:val="1"/>
      <w:numFmt w:val="lowerRoman"/>
      <w:suff w:val="tab"/>
      <w:lvlText w:val="%9."/>
      <w:lvlJc w:val="right"/>
      <w:pPr>
        <w:ind w:left="6546" w:hanging="179"/>
      </w:pPr>
    </w:lvl>
  </w:abstractNum>
  <w:abstractNum w:abstractNumId="1">
    <w:multiLevelType w:val="hybridMultilevel"/>
    <w:lvl w:ilvl="0">
      <w:start w:val="1"/>
      <w:numFmt w:val="decimal"/>
      <w:suff w:val="tab"/>
      <w:lvlText w:val="%1."/>
      <w:lvlJc w:val="left"/>
      <w:pPr>
        <w:ind w:left="786" w:hanging="358"/>
      </w:pPr>
      <w:rPr>
        <w:rFonts w:hint="default"/>
      </w:rPr>
    </w:lvl>
    <w:lvl w:ilvl="1">
      <w:start w:val="1"/>
      <w:numFmt w:val="lowerLetter"/>
      <w:suff w:val="tab"/>
      <w:lvlText w:val="%2."/>
      <w:lvlJc w:val="left"/>
      <w:pPr>
        <w:ind w:left="1506" w:hanging="358"/>
      </w:pPr>
    </w:lvl>
    <w:lvl w:ilvl="2">
      <w:start w:val="1"/>
      <w:numFmt w:val="lowerRoman"/>
      <w:suff w:val="tab"/>
      <w:lvlText w:val="%3."/>
      <w:lvlJc w:val="right"/>
      <w:pPr>
        <w:ind w:left="2226" w:hanging="178"/>
      </w:pPr>
    </w:lvl>
    <w:lvl w:ilvl="3">
      <w:start w:val="1"/>
      <w:numFmt w:val="decimal"/>
      <w:suff w:val="tab"/>
      <w:lvlText w:val="%4."/>
      <w:lvlJc w:val="left"/>
      <w:pPr>
        <w:ind w:left="2946" w:hanging="358"/>
      </w:pPr>
    </w:lvl>
    <w:lvl w:ilvl="4">
      <w:start w:val="1"/>
      <w:numFmt w:val="lowerLetter"/>
      <w:suff w:val="tab"/>
      <w:lvlText w:val="%5."/>
      <w:lvlJc w:val="left"/>
      <w:pPr>
        <w:ind w:left="3666" w:hanging="358"/>
      </w:pPr>
    </w:lvl>
    <w:lvl w:ilvl="5">
      <w:start w:val="1"/>
      <w:numFmt w:val="lowerRoman"/>
      <w:suff w:val="tab"/>
      <w:lvlText w:val="%6."/>
      <w:lvlJc w:val="right"/>
      <w:pPr>
        <w:ind w:left="4386" w:hanging="178"/>
      </w:pPr>
    </w:lvl>
    <w:lvl w:ilvl="6">
      <w:start w:val="1"/>
      <w:numFmt w:val="decimal"/>
      <w:suff w:val="tab"/>
      <w:lvlText w:val="%7."/>
      <w:lvlJc w:val="left"/>
      <w:pPr>
        <w:ind w:left="5106" w:hanging="358"/>
      </w:pPr>
    </w:lvl>
    <w:lvl w:ilvl="7">
      <w:start w:val="1"/>
      <w:numFmt w:val="lowerLetter"/>
      <w:suff w:val="tab"/>
      <w:lvlText w:val="%8."/>
      <w:lvlJc w:val="left"/>
      <w:pPr>
        <w:ind w:left="5826" w:hanging="358"/>
      </w:pPr>
    </w:lvl>
    <w:lvl w:ilvl="8">
      <w:start w:val="1"/>
      <w:numFmt w:val="lowerRoman"/>
      <w:suff w:val="tab"/>
      <w:lvlText w:val="%9."/>
      <w:lvlJc w:val="right"/>
      <w:pPr>
        <w:ind w:left="6546" w:hanging="178"/>
      </w:pPr>
    </w:lvl>
  </w:abstractNum>
  <w:abstractNum w:abstractNumId="2">
    <w:multiLevelType w:val="hybridMultilevel"/>
    <w:lvl w:ilvl="0">
      <w:start w:val="2"/>
      <w:numFmt w:val="bullet"/>
      <w:suff w:val="tab"/>
      <w:lvlText w:val="-"/>
      <w:lvlJc w:val="left"/>
      <w:pPr>
        <w:ind w:left="1002" w:hanging="358"/>
      </w:pPr>
      <w:rPr>
        <w:rFonts w:ascii="Times New Roman" w:hAnsi="Times New Roman" w:eastAsia="Times New Roman" w:hint="default"/>
      </w:rPr>
    </w:lvl>
    <w:lvl w:ilvl="1">
      <w:start w:val="1"/>
      <w:numFmt w:val="bullet"/>
      <w:suff w:val="tab"/>
      <w:lvlText w:val="o"/>
      <w:lvlJc w:val="left"/>
      <w:pPr>
        <w:ind w:left="1722" w:hanging="358"/>
      </w:pPr>
      <w:rPr>
        <w:rFonts w:ascii="Courier New" w:hAnsi="Courier New" w:hint="default"/>
      </w:rPr>
    </w:lvl>
    <w:lvl w:ilvl="2">
      <w:start w:val="1"/>
      <w:numFmt w:val="bullet"/>
      <w:suff w:val="tab"/>
      <w:lvlText w:val=""/>
      <w:lvlJc w:val="left"/>
      <w:pPr>
        <w:ind w:left="2442" w:hanging="358"/>
      </w:pPr>
      <w:rPr>
        <w:rFonts w:ascii="Wingdings" w:hAnsi="Wingdings" w:hint="default"/>
      </w:rPr>
    </w:lvl>
    <w:lvl w:ilvl="3">
      <w:start w:val="1"/>
      <w:numFmt w:val="bullet"/>
      <w:suff w:val="tab"/>
      <w:lvlText w:val=""/>
      <w:lvlJc w:val="left"/>
      <w:pPr>
        <w:ind w:left="3162" w:hanging="358"/>
      </w:pPr>
      <w:rPr>
        <w:rFonts w:ascii="Symbol" w:hAnsi="Symbol" w:hint="default"/>
      </w:rPr>
    </w:lvl>
    <w:lvl w:ilvl="4">
      <w:start w:val="1"/>
      <w:numFmt w:val="bullet"/>
      <w:suff w:val="tab"/>
      <w:lvlText w:val="o"/>
      <w:lvlJc w:val="left"/>
      <w:pPr>
        <w:ind w:left="3882" w:hanging="358"/>
      </w:pPr>
      <w:rPr>
        <w:rFonts w:ascii="Courier New" w:hAnsi="Courier New" w:hint="default"/>
      </w:rPr>
    </w:lvl>
    <w:lvl w:ilvl="5">
      <w:start w:val="1"/>
      <w:numFmt w:val="bullet"/>
      <w:suff w:val="tab"/>
      <w:lvlText w:val=""/>
      <w:lvlJc w:val="left"/>
      <w:pPr>
        <w:ind w:left="4602" w:hanging="358"/>
      </w:pPr>
      <w:rPr>
        <w:rFonts w:ascii="Wingdings" w:hAnsi="Wingdings" w:hint="default"/>
      </w:rPr>
    </w:lvl>
    <w:lvl w:ilvl="6">
      <w:start w:val="1"/>
      <w:numFmt w:val="bullet"/>
      <w:suff w:val="tab"/>
      <w:lvlText w:val=""/>
      <w:lvlJc w:val="left"/>
      <w:pPr>
        <w:ind w:left="5322" w:hanging="358"/>
      </w:pPr>
      <w:rPr>
        <w:rFonts w:ascii="Symbol" w:hAnsi="Symbol" w:hint="default"/>
      </w:rPr>
    </w:lvl>
    <w:lvl w:ilvl="7">
      <w:start w:val="1"/>
      <w:numFmt w:val="bullet"/>
      <w:suff w:val="tab"/>
      <w:lvlText w:val="o"/>
      <w:lvlJc w:val="left"/>
      <w:pPr>
        <w:ind w:left="6042" w:hanging="358"/>
      </w:pPr>
      <w:rPr>
        <w:rFonts w:ascii="Courier New" w:hAnsi="Courier New" w:hint="default"/>
      </w:rPr>
    </w:lvl>
    <w:lvl w:ilvl="8">
      <w:start w:val="1"/>
      <w:numFmt w:val="bullet"/>
      <w:suff w:val="tab"/>
      <w:lvlText w:val=""/>
      <w:lvlJc w:val="left"/>
      <w:pPr>
        <w:ind w:left="6762" w:hanging="358"/>
      </w:pPr>
      <w:rPr>
        <w:rFonts w:ascii="Wingdings" w:hAnsi="Wingdings" w:hint="default"/>
      </w:rPr>
    </w:lvl>
  </w:abstractNum>
  <w:abstractNum w:abstractNumId="3">
    <w:multiLevelType w:val="hybridMultilevel"/>
    <w:lvl w:ilvl="0">
      <w:start w:val="1"/>
      <w:numFmt w:val="none"/>
      <w:suff w:val="nothing"/>
      <w:lvlText w:val=""/>
      <w:lvlJc w:val="left"/>
      <w:pPr>
        <w:ind w:left="432" w:hanging="430"/>
        <w:tabs>
          <w:tab w:val="left" w:pos="0" w:leader="none"/>
        </w:tabs>
      </w:pPr>
      <w:rPr>
        <w:rFonts w:cs="Times New Roman"/>
      </w:rPr>
    </w:lvl>
    <w:lvl w:ilvl="1">
      <w:start w:val="1"/>
      <w:numFmt w:val="none"/>
      <w:suff w:val="nothing"/>
      <w:lvlText w:val=""/>
      <w:lvlJc w:val="left"/>
      <w:pPr>
        <w:ind w:left="576" w:hanging="574"/>
        <w:tabs>
          <w:tab w:val="left" w:pos="0" w:leader="none"/>
        </w:tabs>
      </w:pPr>
      <w:rPr>
        <w:rFonts w:cs="Times New Roman"/>
      </w:rPr>
    </w:lvl>
    <w:lvl w:ilvl="2">
      <w:start w:val="1"/>
      <w:numFmt w:val="none"/>
      <w:suff w:val="nothing"/>
      <w:lvlText w:val=""/>
      <w:lvlJc w:val="left"/>
      <w:pPr>
        <w:ind w:left="720" w:hanging="718"/>
        <w:tabs>
          <w:tab w:val="left" w:pos="0" w:leader="none"/>
        </w:tabs>
      </w:pPr>
      <w:rPr>
        <w:rFonts w:cs="Times New Roman"/>
      </w:rPr>
    </w:lvl>
    <w:lvl w:ilvl="3">
      <w:start w:val="1"/>
      <w:numFmt w:val="none"/>
      <w:suff w:val="nothing"/>
      <w:lvlText w:val=""/>
      <w:lvlJc w:val="left"/>
      <w:pPr>
        <w:ind w:left="864" w:hanging="862"/>
        <w:tabs>
          <w:tab w:val="left" w:pos="0" w:leader="none"/>
        </w:tabs>
      </w:pPr>
      <w:rPr>
        <w:rFonts w:cs="Times New Roman"/>
      </w:rPr>
    </w:lvl>
    <w:lvl w:ilvl="4">
      <w:start w:val="1"/>
      <w:numFmt w:val="none"/>
      <w:suff w:val="nothing"/>
      <w:lvlText w:val=""/>
      <w:lvlJc w:val="left"/>
      <w:pPr>
        <w:ind w:left="1008" w:hanging="1006"/>
        <w:tabs>
          <w:tab w:val="left" w:pos="0" w:leader="none"/>
        </w:tabs>
      </w:pPr>
      <w:rPr>
        <w:rFonts w:cs="Times New Roman"/>
      </w:rPr>
    </w:lvl>
    <w:lvl w:ilvl="5">
      <w:start w:val="1"/>
      <w:numFmt w:val="none"/>
      <w:suff w:val="nothing"/>
      <w:lvlText w:val=""/>
      <w:lvlJc w:val="left"/>
      <w:pPr>
        <w:ind w:left="1152" w:hanging="1150"/>
        <w:tabs>
          <w:tab w:val="left" w:pos="0" w:leader="none"/>
        </w:tabs>
      </w:pPr>
      <w:rPr>
        <w:rFonts w:cs="Times New Roman"/>
      </w:rPr>
    </w:lvl>
    <w:lvl w:ilvl="6">
      <w:start w:val="1"/>
      <w:numFmt w:val="none"/>
      <w:suff w:val="nothing"/>
      <w:lvlText w:val=""/>
      <w:lvlJc w:val="left"/>
      <w:pPr>
        <w:ind w:left="1296" w:hanging="1294"/>
        <w:tabs>
          <w:tab w:val="left" w:pos="0" w:leader="none"/>
        </w:tabs>
      </w:pPr>
      <w:rPr>
        <w:rFonts w:cs="Times New Roman"/>
      </w:rPr>
    </w:lvl>
    <w:lvl w:ilvl="7">
      <w:start w:val="1"/>
      <w:numFmt w:val="none"/>
      <w:suff w:val="nothing"/>
      <w:lvlText w:val=""/>
      <w:lvlJc w:val="left"/>
      <w:pPr>
        <w:ind w:left="1440" w:hanging="1438"/>
        <w:tabs>
          <w:tab w:val="left" w:pos="0" w:leader="none"/>
        </w:tabs>
      </w:pPr>
      <w:rPr>
        <w:rFonts w:cs="Times New Roman"/>
      </w:rPr>
    </w:lvl>
    <w:lvl w:ilvl="8">
      <w:start w:val="1"/>
      <w:numFmt w:val="none"/>
      <w:suff w:val="nothing"/>
      <w:lvlText w:val=""/>
      <w:lvlJc w:val="left"/>
      <w:pPr>
        <w:ind w:left="1584" w:hanging="1582"/>
        <w:tabs>
          <w:tab w:val="left" w:pos="0" w:leader="none"/>
        </w:tabs>
      </w:pPr>
      <w:rPr>
        <w:rFonts w:cs="Times New Roman"/>
      </w:rPr>
    </w:lvl>
  </w:abstractNum>
  <w:abstractNum w:abstractNumId="4">
    <w:multiLevelType w:val="hybridMultilevel"/>
    <w:lvl w:ilvl="0">
      <w:start w:val="1"/>
      <w:numFmt w:val="decimal"/>
      <w:suff w:val="tab"/>
      <w:lvlText w:val="%1."/>
      <w:lvlJc w:val="left"/>
      <w:pPr>
        <w:ind w:left="1146" w:hanging="358"/>
      </w:pPr>
    </w:lvl>
    <w:lvl w:ilvl="1">
      <w:start w:val="1"/>
      <w:numFmt w:val="lowerLetter"/>
      <w:suff w:val="tab"/>
      <w:lvlText w:val="%2."/>
      <w:lvlJc w:val="left"/>
      <w:pPr>
        <w:ind w:left="1866" w:hanging="358"/>
      </w:pPr>
    </w:lvl>
    <w:lvl w:ilvl="2">
      <w:start w:val="1"/>
      <w:numFmt w:val="lowerRoman"/>
      <w:suff w:val="tab"/>
      <w:lvlText w:val="%3."/>
      <w:lvlJc w:val="right"/>
      <w:pPr>
        <w:ind w:left="2586" w:hanging="178"/>
      </w:pPr>
    </w:lvl>
    <w:lvl w:ilvl="3">
      <w:start w:val="1"/>
      <w:numFmt w:val="decimal"/>
      <w:suff w:val="tab"/>
      <w:lvlText w:val="%4."/>
      <w:lvlJc w:val="left"/>
      <w:pPr>
        <w:ind w:left="3306" w:hanging="358"/>
      </w:pPr>
    </w:lvl>
    <w:lvl w:ilvl="4">
      <w:start w:val="1"/>
      <w:numFmt w:val="lowerLetter"/>
      <w:suff w:val="tab"/>
      <w:lvlText w:val="%5."/>
      <w:lvlJc w:val="left"/>
      <w:pPr>
        <w:ind w:left="4026" w:hanging="358"/>
      </w:pPr>
    </w:lvl>
    <w:lvl w:ilvl="5">
      <w:start w:val="1"/>
      <w:numFmt w:val="lowerRoman"/>
      <w:suff w:val="tab"/>
      <w:lvlText w:val="%6."/>
      <w:lvlJc w:val="right"/>
      <w:pPr>
        <w:ind w:left="4746" w:hanging="178"/>
      </w:pPr>
    </w:lvl>
    <w:lvl w:ilvl="6">
      <w:start w:val="1"/>
      <w:numFmt w:val="decimal"/>
      <w:suff w:val="tab"/>
      <w:lvlText w:val="%7."/>
      <w:lvlJc w:val="left"/>
      <w:pPr>
        <w:ind w:left="5466" w:hanging="358"/>
      </w:pPr>
    </w:lvl>
    <w:lvl w:ilvl="7">
      <w:start w:val="1"/>
      <w:numFmt w:val="lowerLetter"/>
      <w:suff w:val="tab"/>
      <w:lvlText w:val="%8."/>
      <w:lvlJc w:val="left"/>
      <w:pPr>
        <w:ind w:left="6186" w:hanging="358"/>
      </w:pPr>
    </w:lvl>
    <w:lvl w:ilvl="8">
      <w:start w:val="1"/>
      <w:numFmt w:val="lowerRoman"/>
      <w:suff w:val="tab"/>
      <w:lvlText w:val="%9."/>
      <w:lvlJc w:val="right"/>
      <w:pPr>
        <w:ind w:left="6906" w:hanging="178"/>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color w:val="auto"/>
        <w:spacing w:val="0"/>
        <w:position w:val="0"/>
        <w:sz w:val="20"/>
        <w:szCs w:val="22"/>
        <w:lang w:val="uk-UA" w:bidi="ar-SA" w:eastAsia="uk-UA"/>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2 Char"/>
    <w:basedOn w:val="198"/>
    <w:link w:val="190"/>
    <w:uiPriority w:val="9"/>
    <w:rPr>
      <w:rFonts w:ascii="Arial" w:hAnsi="Arial" w:cs="Arial" w:eastAsia="Arial"/>
      <w:sz w:val="34"/>
    </w:rPr>
  </w:style>
  <w:style w:type="character" w:styleId="18">
    <w:name w:val="Heading 4 Char"/>
    <w:basedOn w:val="198"/>
    <w:link w:val="192"/>
    <w:uiPriority w:val="9"/>
    <w:rPr>
      <w:rFonts w:ascii="Arial" w:hAnsi="Arial" w:cs="Arial" w:eastAsia="Arial"/>
      <w:b/>
      <w:bCs/>
      <w:sz w:val="26"/>
      <w:szCs w:val="26"/>
    </w:rPr>
  </w:style>
  <w:style w:type="character" w:styleId="20">
    <w:name w:val="Heading 5 Char"/>
    <w:basedOn w:val="198"/>
    <w:link w:val="193"/>
    <w:uiPriority w:val="9"/>
    <w:rPr>
      <w:rFonts w:ascii="Arial" w:hAnsi="Arial" w:cs="Arial" w:eastAsia="Arial"/>
      <w:b/>
      <w:bCs/>
      <w:sz w:val="24"/>
      <w:szCs w:val="24"/>
    </w:rPr>
  </w:style>
  <w:style w:type="character" w:styleId="22">
    <w:name w:val="Heading 6 Char"/>
    <w:basedOn w:val="198"/>
    <w:link w:val="194"/>
    <w:uiPriority w:val="9"/>
    <w:rPr>
      <w:rFonts w:ascii="Arial" w:hAnsi="Arial" w:cs="Arial" w:eastAsia="Arial"/>
      <w:b/>
      <w:bCs/>
      <w:sz w:val="22"/>
      <w:szCs w:val="22"/>
    </w:rPr>
  </w:style>
  <w:style w:type="character" w:styleId="24">
    <w:name w:val="Heading 7 Char"/>
    <w:basedOn w:val="198"/>
    <w:link w:val="195"/>
    <w:uiPriority w:val="9"/>
    <w:rPr>
      <w:rFonts w:ascii="Arial" w:hAnsi="Arial" w:cs="Arial" w:eastAsia="Arial"/>
      <w:b/>
      <w:bCs/>
      <w:i/>
      <w:iCs/>
      <w:sz w:val="22"/>
      <w:szCs w:val="22"/>
    </w:rPr>
  </w:style>
  <w:style w:type="character" w:styleId="26">
    <w:name w:val="Heading 8 Char"/>
    <w:basedOn w:val="198"/>
    <w:link w:val="196"/>
    <w:uiPriority w:val="9"/>
    <w:rPr>
      <w:rFonts w:ascii="Arial" w:hAnsi="Arial" w:cs="Arial" w:eastAsia="Arial"/>
      <w:i/>
      <w:iCs/>
      <w:sz w:val="22"/>
      <w:szCs w:val="22"/>
    </w:rPr>
  </w:style>
  <w:style w:type="character" w:styleId="28">
    <w:name w:val="Heading 9 Char"/>
    <w:basedOn w:val="198"/>
    <w:link w:val="19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198"/>
    <w:link w:val="211"/>
    <w:uiPriority w:val="10"/>
    <w:rPr>
      <w:sz w:val="48"/>
      <w:szCs w:val="48"/>
    </w:rPr>
  </w:style>
  <w:style w:type="character" w:styleId="35">
    <w:name w:val="Subtitle Char"/>
    <w:basedOn w:val="198"/>
    <w:link w:val="213"/>
    <w:uiPriority w:val="11"/>
    <w:rPr>
      <w:sz w:val="24"/>
      <w:szCs w:val="24"/>
    </w:rPr>
  </w:style>
  <w:style w:type="character" w:styleId="37">
    <w:name w:val="Quote Char"/>
    <w:link w:val="215"/>
    <w:uiPriority w:val="29"/>
    <w:rPr>
      <w:i/>
    </w:rPr>
  </w:style>
  <w:style w:type="character" w:styleId="39">
    <w:name w:val="Intense Quote Char"/>
    <w:link w:val="217"/>
    <w:uiPriority w:val="30"/>
    <w:rPr>
      <w:i/>
    </w:rPr>
  </w:style>
  <w:style w:type="character" w:styleId="41">
    <w:name w:val="Header Char"/>
    <w:basedOn w:val="198"/>
    <w:link w:val="219"/>
    <w:uiPriority w:val="99"/>
  </w:style>
  <w:style w:type="character" w:styleId="43">
    <w:name w:val="Footer Char"/>
    <w:basedOn w:val="198"/>
    <w:link w:val="221"/>
    <w:uiPriority w:val="99"/>
  </w:style>
  <w:style w:type="character" w:styleId="68">
    <w:name w:val="Footnote Text Char"/>
    <w:link w:val="244"/>
    <w:uiPriority w:val="99"/>
    <w:rPr>
      <w:sz w:val="18"/>
    </w:rPr>
  </w:style>
  <w:style w:type="paragraph" w:styleId="188" w:default="1">
    <w:name w:val="Normal"/>
    <w:qFormat/>
    <w:rPr>
      <w:rFonts w:ascii="Times New Roman" w:hAnsi="Times New Roman" w:cs="Times New Roman"/>
      <w:lang w:eastAsia="ru-RU"/>
    </w:rPr>
  </w:style>
  <w:style w:type="paragraph" w:styleId="189">
    <w:name w:val="Heading 1"/>
    <w:basedOn w:val="188"/>
    <w:next w:val="188"/>
    <w:link w:val="257"/>
    <w:qFormat/>
    <w:uiPriority w:val="99"/>
    <w:rPr>
      <w:b/>
      <w:sz w:val="32"/>
    </w:rPr>
    <w:pPr>
      <w:jc w:val="center"/>
      <w:keepNext/>
      <w:outlineLvl w:val="0"/>
    </w:pPr>
  </w:style>
  <w:style w:type="paragraph" w:styleId="190">
    <w:name w:val="Heading 2"/>
    <w:basedOn w:val="188"/>
    <w:next w:val="188"/>
    <w:link w:val="202"/>
    <w:qFormat/>
    <w:uiPriority w:val="9"/>
    <w:unhideWhenUsed/>
    <w:rPr>
      <w:rFonts w:ascii="Arial" w:hAnsi="Arial" w:cs="Arial" w:eastAsia="Arial"/>
      <w:sz w:val="34"/>
    </w:rPr>
    <w:pPr>
      <w:keepLines/>
      <w:keepNext/>
      <w:spacing w:after="200" w:before="360"/>
      <w:outlineLvl w:val="1"/>
    </w:pPr>
  </w:style>
  <w:style w:type="paragraph" w:styleId="191">
    <w:name w:val="Heading 3"/>
    <w:basedOn w:val="188"/>
    <w:next w:val="188"/>
    <w:link w:val="268"/>
    <w:qFormat/>
    <w:uiPriority w:val="9"/>
    <w:semiHidden/>
    <w:unhideWhenUsed/>
    <w:rPr>
      <w:rFonts w:ascii="Calibri Light" w:hAnsi="Calibri Light"/>
      <w:b/>
      <w:bCs/>
      <w:sz w:val="26"/>
      <w:szCs w:val="26"/>
    </w:rPr>
    <w:pPr>
      <w:keepNext/>
      <w:spacing w:after="60" w:before="240"/>
      <w:outlineLvl w:val="2"/>
    </w:pPr>
  </w:style>
  <w:style w:type="paragraph" w:styleId="192">
    <w:name w:val="Heading 4"/>
    <w:basedOn w:val="188"/>
    <w:next w:val="188"/>
    <w:link w:val="204"/>
    <w:qFormat/>
    <w:uiPriority w:val="9"/>
    <w:unhideWhenUsed/>
    <w:rPr>
      <w:rFonts w:ascii="Arial" w:hAnsi="Arial" w:cs="Arial" w:eastAsia="Arial"/>
      <w:b/>
      <w:bCs/>
      <w:sz w:val="26"/>
      <w:szCs w:val="26"/>
    </w:rPr>
    <w:pPr>
      <w:keepLines/>
      <w:keepNext/>
      <w:spacing w:after="200" w:before="320"/>
      <w:outlineLvl w:val="3"/>
    </w:pPr>
  </w:style>
  <w:style w:type="paragraph" w:styleId="193">
    <w:name w:val="Heading 5"/>
    <w:basedOn w:val="188"/>
    <w:next w:val="188"/>
    <w:link w:val="205"/>
    <w:qFormat/>
    <w:uiPriority w:val="9"/>
    <w:unhideWhenUsed/>
    <w:rPr>
      <w:rFonts w:ascii="Arial" w:hAnsi="Arial" w:cs="Arial" w:eastAsia="Arial"/>
      <w:b/>
      <w:bCs/>
      <w:sz w:val="24"/>
      <w:szCs w:val="24"/>
    </w:rPr>
    <w:pPr>
      <w:keepLines/>
      <w:keepNext/>
      <w:spacing w:after="200" w:before="320"/>
      <w:outlineLvl w:val="4"/>
    </w:pPr>
  </w:style>
  <w:style w:type="paragraph" w:styleId="194">
    <w:name w:val="Heading 6"/>
    <w:basedOn w:val="188"/>
    <w:next w:val="188"/>
    <w:link w:val="206"/>
    <w:qFormat/>
    <w:uiPriority w:val="9"/>
    <w:unhideWhenUsed/>
    <w:rPr>
      <w:rFonts w:ascii="Arial" w:hAnsi="Arial" w:cs="Arial" w:eastAsia="Arial"/>
      <w:b/>
      <w:bCs/>
      <w:sz w:val="22"/>
    </w:rPr>
    <w:pPr>
      <w:keepLines/>
      <w:keepNext/>
      <w:spacing w:after="200" w:before="320"/>
      <w:outlineLvl w:val="5"/>
    </w:pPr>
  </w:style>
  <w:style w:type="paragraph" w:styleId="195">
    <w:name w:val="Heading 7"/>
    <w:basedOn w:val="188"/>
    <w:next w:val="188"/>
    <w:link w:val="207"/>
    <w:qFormat/>
    <w:uiPriority w:val="9"/>
    <w:unhideWhenUsed/>
    <w:rPr>
      <w:rFonts w:ascii="Arial" w:hAnsi="Arial" w:cs="Arial" w:eastAsia="Arial"/>
      <w:b/>
      <w:bCs/>
      <w:i/>
      <w:iCs/>
      <w:sz w:val="22"/>
    </w:rPr>
    <w:pPr>
      <w:keepLines/>
      <w:keepNext/>
      <w:spacing w:after="200" w:before="320"/>
      <w:outlineLvl w:val="6"/>
    </w:pPr>
  </w:style>
  <w:style w:type="paragraph" w:styleId="196">
    <w:name w:val="Heading 8"/>
    <w:basedOn w:val="188"/>
    <w:next w:val="188"/>
    <w:link w:val="208"/>
    <w:qFormat/>
    <w:uiPriority w:val="9"/>
    <w:unhideWhenUsed/>
    <w:rPr>
      <w:rFonts w:ascii="Arial" w:hAnsi="Arial" w:cs="Arial" w:eastAsia="Arial"/>
      <w:i/>
      <w:iCs/>
      <w:sz w:val="22"/>
    </w:rPr>
    <w:pPr>
      <w:keepLines/>
      <w:keepNext/>
      <w:spacing w:after="200" w:before="320"/>
      <w:outlineLvl w:val="7"/>
    </w:pPr>
  </w:style>
  <w:style w:type="paragraph" w:styleId="197">
    <w:name w:val="Heading 9"/>
    <w:basedOn w:val="188"/>
    <w:next w:val="188"/>
    <w:link w:val="209"/>
    <w:qFormat/>
    <w:uiPriority w:val="9"/>
    <w:unhideWhenUsed/>
    <w:rPr>
      <w:rFonts w:ascii="Arial" w:hAnsi="Arial" w:cs="Arial" w:eastAsia="Arial"/>
      <w:i/>
      <w:iCs/>
      <w:sz w:val="21"/>
      <w:szCs w:val="21"/>
    </w:rPr>
    <w:pPr>
      <w:keepLines/>
      <w:keepNext/>
      <w:spacing w:after="200" w:before="320"/>
      <w:outlineLvl w:val="8"/>
    </w:pPr>
  </w:style>
  <w:style w:type="character" w:styleId="198" w:default="1">
    <w:name w:val="Default Paragraph Font"/>
    <w:uiPriority w:val="1"/>
    <w:semiHidden/>
    <w:unhideWhenUsed/>
  </w:style>
  <w:style w:type="table" w:styleId="199" w:default="1">
    <w:name w:val="Normal Table"/>
    <w:uiPriority w:val="99"/>
    <w:semiHidden/>
    <w:unhideWhenUsed/>
    <w:tblPr>
      <w:tblInd w:w="0" w:type="dxa"/>
      <w:tblCellMar>
        <w:left w:w="108" w:type="dxa"/>
        <w:top w:w="0" w:type="dxa"/>
        <w:right w:w="108" w:type="dxa"/>
        <w:bottom w:w="0" w:type="dxa"/>
      </w:tblCellMar>
    </w:tblPr>
  </w:style>
  <w:style w:type="numbering" w:styleId="200" w:default="1">
    <w:name w:val="No List"/>
    <w:uiPriority w:val="99"/>
    <w:semiHidden/>
    <w:unhideWhenUsed/>
  </w:style>
  <w:style w:type="character" w:styleId="201" w:customStyle="1">
    <w:name w:val="Heading 1 Char"/>
    <w:basedOn w:val="198"/>
    <w:uiPriority w:val="9"/>
    <w:rPr>
      <w:rFonts w:ascii="Arial" w:hAnsi="Arial" w:cs="Arial" w:eastAsia="Arial"/>
      <w:sz w:val="40"/>
      <w:szCs w:val="40"/>
    </w:rPr>
  </w:style>
  <w:style w:type="character" w:styleId="202" w:customStyle="1">
    <w:name w:val="Заголовок 2 Знак"/>
    <w:basedOn w:val="198"/>
    <w:link w:val="190"/>
    <w:uiPriority w:val="9"/>
    <w:rPr>
      <w:rFonts w:ascii="Arial" w:hAnsi="Arial" w:cs="Arial" w:eastAsia="Arial"/>
      <w:sz w:val="34"/>
    </w:rPr>
  </w:style>
  <w:style w:type="character" w:styleId="203" w:customStyle="1">
    <w:name w:val="Heading 3 Char"/>
    <w:basedOn w:val="198"/>
    <w:uiPriority w:val="9"/>
    <w:rPr>
      <w:rFonts w:ascii="Arial" w:hAnsi="Arial" w:cs="Arial" w:eastAsia="Arial"/>
      <w:sz w:val="30"/>
      <w:szCs w:val="30"/>
    </w:rPr>
  </w:style>
  <w:style w:type="character" w:styleId="204" w:customStyle="1">
    <w:name w:val="Заголовок 4 Знак"/>
    <w:basedOn w:val="198"/>
    <w:link w:val="192"/>
    <w:uiPriority w:val="9"/>
    <w:rPr>
      <w:rFonts w:ascii="Arial" w:hAnsi="Arial" w:cs="Arial" w:eastAsia="Arial"/>
      <w:b/>
      <w:bCs/>
      <w:sz w:val="26"/>
      <w:szCs w:val="26"/>
    </w:rPr>
  </w:style>
  <w:style w:type="character" w:styleId="205" w:customStyle="1">
    <w:name w:val="Заголовок 5 Знак"/>
    <w:basedOn w:val="198"/>
    <w:link w:val="193"/>
    <w:uiPriority w:val="9"/>
    <w:rPr>
      <w:rFonts w:ascii="Arial" w:hAnsi="Arial" w:cs="Arial" w:eastAsia="Arial"/>
      <w:b/>
      <w:bCs/>
      <w:sz w:val="24"/>
      <w:szCs w:val="24"/>
    </w:rPr>
  </w:style>
  <w:style w:type="character" w:styleId="206" w:customStyle="1">
    <w:name w:val="Заголовок 6 Знак"/>
    <w:basedOn w:val="198"/>
    <w:link w:val="194"/>
    <w:uiPriority w:val="9"/>
    <w:rPr>
      <w:rFonts w:ascii="Arial" w:hAnsi="Arial" w:cs="Arial" w:eastAsia="Arial"/>
      <w:b/>
      <w:bCs/>
      <w:sz w:val="22"/>
      <w:szCs w:val="22"/>
    </w:rPr>
  </w:style>
  <w:style w:type="character" w:styleId="207" w:customStyle="1">
    <w:name w:val="Заголовок 7 Знак"/>
    <w:basedOn w:val="198"/>
    <w:link w:val="195"/>
    <w:uiPriority w:val="9"/>
    <w:rPr>
      <w:rFonts w:ascii="Arial" w:hAnsi="Arial" w:cs="Arial" w:eastAsia="Arial"/>
      <w:b/>
      <w:bCs/>
      <w:i/>
      <w:iCs/>
      <w:sz w:val="22"/>
      <w:szCs w:val="22"/>
    </w:rPr>
  </w:style>
  <w:style w:type="character" w:styleId="208" w:customStyle="1">
    <w:name w:val="Заголовок 8 Знак"/>
    <w:basedOn w:val="198"/>
    <w:link w:val="196"/>
    <w:uiPriority w:val="9"/>
    <w:rPr>
      <w:rFonts w:ascii="Arial" w:hAnsi="Arial" w:cs="Arial" w:eastAsia="Arial"/>
      <w:i/>
      <w:iCs/>
      <w:sz w:val="22"/>
      <w:szCs w:val="22"/>
    </w:rPr>
  </w:style>
  <w:style w:type="character" w:styleId="209" w:customStyle="1">
    <w:name w:val="Заголовок 9 Знак"/>
    <w:basedOn w:val="198"/>
    <w:link w:val="197"/>
    <w:uiPriority w:val="9"/>
    <w:rPr>
      <w:rFonts w:ascii="Arial" w:hAnsi="Arial" w:cs="Arial" w:eastAsia="Arial"/>
      <w:i/>
      <w:iCs/>
      <w:sz w:val="21"/>
      <w:szCs w:val="21"/>
    </w:rPr>
  </w:style>
  <w:style w:type="paragraph" w:styleId="210">
    <w:name w:val="List Paragraph"/>
    <w:basedOn w:val="188"/>
    <w:qFormat/>
    <w:uiPriority w:val="34"/>
    <w:pPr>
      <w:contextualSpacing w:val="true"/>
      <w:ind w:left="720"/>
    </w:pPr>
  </w:style>
  <w:style w:type="paragraph" w:styleId="211">
    <w:name w:val="Title"/>
    <w:basedOn w:val="188"/>
    <w:next w:val="188"/>
    <w:link w:val="212"/>
    <w:qFormat/>
    <w:uiPriority w:val="10"/>
    <w:rPr>
      <w:sz w:val="48"/>
      <w:szCs w:val="48"/>
    </w:rPr>
    <w:pPr>
      <w:contextualSpacing w:val="true"/>
      <w:spacing w:after="200" w:before="300"/>
    </w:pPr>
  </w:style>
  <w:style w:type="character" w:styleId="212" w:customStyle="1">
    <w:name w:val="Заголовок Знак"/>
    <w:basedOn w:val="198"/>
    <w:link w:val="211"/>
    <w:uiPriority w:val="10"/>
    <w:rPr>
      <w:sz w:val="48"/>
      <w:szCs w:val="48"/>
    </w:rPr>
  </w:style>
  <w:style w:type="paragraph" w:styleId="213">
    <w:name w:val="Subtitle"/>
    <w:basedOn w:val="188"/>
    <w:next w:val="188"/>
    <w:link w:val="214"/>
    <w:qFormat/>
    <w:uiPriority w:val="11"/>
    <w:rPr>
      <w:sz w:val="24"/>
      <w:szCs w:val="24"/>
    </w:rPr>
    <w:pPr>
      <w:spacing w:after="200" w:before="200"/>
    </w:pPr>
  </w:style>
  <w:style w:type="character" w:styleId="214" w:customStyle="1">
    <w:name w:val="Подзаголовок Знак"/>
    <w:basedOn w:val="198"/>
    <w:link w:val="213"/>
    <w:uiPriority w:val="11"/>
    <w:rPr>
      <w:sz w:val="24"/>
      <w:szCs w:val="24"/>
    </w:rPr>
  </w:style>
  <w:style w:type="paragraph" w:styleId="215">
    <w:name w:val="Quote"/>
    <w:basedOn w:val="188"/>
    <w:next w:val="188"/>
    <w:link w:val="216"/>
    <w:qFormat/>
    <w:uiPriority w:val="29"/>
    <w:rPr>
      <w:i/>
    </w:rPr>
    <w:pPr>
      <w:ind w:left="720" w:right="720"/>
    </w:pPr>
  </w:style>
  <w:style w:type="character" w:styleId="216" w:customStyle="1">
    <w:name w:val="Цитата 2 Знак"/>
    <w:link w:val="215"/>
    <w:uiPriority w:val="29"/>
    <w:rPr>
      <w:i/>
    </w:rPr>
  </w:style>
  <w:style w:type="paragraph" w:styleId="217">
    <w:name w:val="Intense Quote"/>
    <w:basedOn w:val="188"/>
    <w:next w:val="188"/>
    <w:link w:val="218"/>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18" w:customStyle="1">
    <w:name w:val="Выделенная цитата Знак"/>
    <w:link w:val="217"/>
    <w:uiPriority w:val="30"/>
    <w:rPr>
      <w:i/>
    </w:rPr>
  </w:style>
  <w:style w:type="paragraph" w:styleId="219">
    <w:name w:val="Header"/>
    <w:basedOn w:val="188"/>
    <w:link w:val="220"/>
    <w:uiPriority w:val="99"/>
    <w:unhideWhenUsed/>
    <w:pPr>
      <w:tabs>
        <w:tab w:val="center" w:pos="7143" w:leader="none"/>
        <w:tab w:val="right" w:pos="14287" w:leader="none"/>
      </w:tabs>
    </w:pPr>
  </w:style>
  <w:style w:type="character" w:styleId="220" w:customStyle="1">
    <w:name w:val="Верхний колонтитул Знак"/>
    <w:basedOn w:val="198"/>
    <w:link w:val="219"/>
    <w:uiPriority w:val="99"/>
  </w:style>
  <w:style w:type="paragraph" w:styleId="221">
    <w:name w:val="Footer"/>
    <w:basedOn w:val="188"/>
    <w:link w:val="222"/>
    <w:uiPriority w:val="99"/>
    <w:unhideWhenUsed/>
    <w:pPr>
      <w:tabs>
        <w:tab w:val="center" w:pos="7143" w:leader="none"/>
        <w:tab w:val="right" w:pos="14287" w:leader="none"/>
      </w:tabs>
    </w:pPr>
  </w:style>
  <w:style w:type="character" w:styleId="222" w:customStyle="1">
    <w:name w:val="Нижний колонтитул Знак"/>
    <w:basedOn w:val="198"/>
    <w:link w:val="221"/>
    <w:uiPriority w:val="99"/>
  </w:style>
  <w:style w:type="table" w:styleId="223" w:customStyle="1">
    <w:name w:val="Lined"/>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4" w:customStyle="1">
    <w:name w:val="Lined - Accent 1"/>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5" w:customStyle="1">
    <w:name w:val="Lined - Accent 2"/>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26" w:customStyle="1">
    <w:name w:val="Lined - Accent 3"/>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27" w:customStyle="1">
    <w:name w:val="Lined - Accent 4"/>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28" w:customStyle="1">
    <w:name w:val="Lined - Accent 5"/>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29" w:customStyle="1">
    <w:name w:val="Lined - Accent 6"/>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30" w:customStyle="1">
    <w:name w:val="Bordered"/>
    <w:basedOn w:val="199"/>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31" w:customStyle="1">
    <w:name w:val="Bordered - Accent 1"/>
    <w:basedOn w:val="199"/>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32" w:customStyle="1">
    <w:name w:val="Bordered - Accent 2"/>
    <w:basedOn w:val="199"/>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33" w:customStyle="1">
    <w:name w:val="Bordered - Accent 3"/>
    <w:basedOn w:val="199"/>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34" w:customStyle="1">
    <w:name w:val="Bordered - Accent 4"/>
    <w:basedOn w:val="199"/>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35" w:customStyle="1">
    <w:name w:val="Bordered - Accent 5"/>
    <w:basedOn w:val="199"/>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36" w:customStyle="1">
    <w:name w:val="Bordered - Accent 6"/>
    <w:basedOn w:val="199"/>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37" w:customStyle="1">
    <w:name w:val="Bordered &amp; Lined"/>
    <w:basedOn w:val="199"/>
    <w:uiPriority w:val="99"/>
    <w:rPr>
      <w:color w:val="404040"/>
      <w:szCs w:val="20"/>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8" w:customStyle="1">
    <w:name w:val="Bordered &amp; Lined - Accent 1"/>
    <w:basedOn w:val="199"/>
    <w:uiPriority w:val="99"/>
    <w:rPr>
      <w:color w:val="404040"/>
      <w:szCs w:val="20"/>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9" w:customStyle="1">
    <w:name w:val="Bordered &amp; Lined - Accent 2"/>
    <w:basedOn w:val="199"/>
    <w:uiPriority w:val="99"/>
    <w:rPr>
      <w:color w:val="404040"/>
      <w:szCs w:val="20"/>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0" w:customStyle="1">
    <w:name w:val="Bordered &amp; Lined - Accent 3"/>
    <w:basedOn w:val="199"/>
    <w:uiPriority w:val="99"/>
    <w:rPr>
      <w:color w:val="404040"/>
      <w:szCs w:val="20"/>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41" w:customStyle="1">
    <w:name w:val="Bordered &amp; Lined - Accent 4"/>
    <w:basedOn w:val="199"/>
    <w:uiPriority w:val="99"/>
    <w:rPr>
      <w:color w:val="404040"/>
      <w:szCs w:val="20"/>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2" w:customStyle="1">
    <w:name w:val="Bordered &amp; Lined - Accent 5"/>
    <w:basedOn w:val="199"/>
    <w:uiPriority w:val="99"/>
    <w:rPr>
      <w:color w:val="404040"/>
      <w:szCs w:val="20"/>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3" w:customStyle="1">
    <w:name w:val="Bordered &amp; Lined - Accent 6"/>
    <w:basedOn w:val="199"/>
    <w:uiPriority w:val="99"/>
    <w:rPr>
      <w:color w:val="404040"/>
      <w:szCs w:val="20"/>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244">
    <w:name w:val="footnote text"/>
    <w:basedOn w:val="188"/>
    <w:link w:val="245"/>
    <w:uiPriority w:val="99"/>
    <w:semiHidden/>
    <w:unhideWhenUsed/>
    <w:rPr>
      <w:sz w:val="18"/>
    </w:rPr>
    <w:pPr>
      <w:spacing w:after="40"/>
    </w:pPr>
  </w:style>
  <w:style w:type="character" w:styleId="245" w:customStyle="1">
    <w:name w:val="Текст сноски Знак"/>
    <w:link w:val="244"/>
    <w:uiPriority w:val="99"/>
    <w:rPr>
      <w:sz w:val="18"/>
    </w:rPr>
  </w:style>
  <w:style w:type="character" w:styleId="246">
    <w:name w:val="footnote reference"/>
    <w:basedOn w:val="198"/>
    <w:uiPriority w:val="99"/>
    <w:unhideWhenUsed/>
    <w:rPr>
      <w:vertAlign w:val="superscript"/>
    </w:rPr>
  </w:style>
  <w:style w:type="paragraph" w:styleId="247">
    <w:name w:val="toc 1"/>
    <w:basedOn w:val="188"/>
    <w:next w:val="188"/>
    <w:uiPriority w:val="39"/>
    <w:unhideWhenUsed/>
    <w:pPr>
      <w:spacing w:after="57"/>
    </w:pPr>
  </w:style>
  <w:style w:type="paragraph" w:styleId="248">
    <w:name w:val="toc 2"/>
    <w:basedOn w:val="188"/>
    <w:next w:val="188"/>
    <w:uiPriority w:val="39"/>
    <w:unhideWhenUsed/>
    <w:pPr>
      <w:ind w:left="283"/>
      <w:spacing w:after="57"/>
    </w:pPr>
  </w:style>
  <w:style w:type="paragraph" w:styleId="249">
    <w:name w:val="toc 3"/>
    <w:basedOn w:val="188"/>
    <w:next w:val="188"/>
    <w:uiPriority w:val="39"/>
    <w:unhideWhenUsed/>
    <w:pPr>
      <w:ind w:left="567"/>
      <w:spacing w:after="57"/>
    </w:pPr>
  </w:style>
  <w:style w:type="paragraph" w:styleId="250">
    <w:name w:val="toc 4"/>
    <w:basedOn w:val="188"/>
    <w:next w:val="188"/>
    <w:uiPriority w:val="39"/>
    <w:unhideWhenUsed/>
    <w:pPr>
      <w:ind w:left="850"/>
      <w:spacing w:after="57"/>
    </w:pPr>
  </w:style>
  <w:style w:type="paragraph" w:styleId="251">
    <w:name w:val="toc 5"/>
    <w:basedOn w:val="188"/>
    <w:next w:val="188"/>
    <w:uiPriority w:val="39"/>
    <w:unhideWhenUsed/>
    <w:pPr>
      <w:ind w:left="1134"/>
      <w:spacing w:after="57"/>
    </w:pPr>
  </w:style>
  <w:style w:type="paragraph" w:styleId="252">
    <w:name w:val="toc 6"/>
    <w:basedOn w:val="188"/>
    <w:next w:val="188"/>
    <w:uiPriority w:val="39"/>
    <w:unhideWhenUsed/>
    <w:pPr>
      <w:ind w:left="1417"/>
      <w:spacing w:after="57"/>
    </w:pPr>
  </w:style>
  <w:style w:type="paragraph" w:styleId="253">
    <w:name w:val="toc 7"/>
    <w:basedOn w:val="188"/>
    <w:next w:val="188"/>
    <w:uiPriority w:val="39"/>
    <w:unhideWhenUsed/>
    <w:pPr>
      <w:ind w:left="1701"/>
      <w:spacing w:after="57"/>
    </w:pPr>
  </w:style>
  <w:style w:type="paragraph" w:styleId="254">
    <w:name w:val="toc 8"/>
    <w:basedOn w:val="188"/>
    <w:next w:val="188"/>
    <w:uiPriority w:val="39"/>
    <w:unhideWhenUsed/>
    <w:pPr>
      <w:ind w:left="1984"/>
      <w:spacing w:after="57"/>
    </w:pPr>
  </w:style>
  <w:style w:type="paragraph" w:styleId="255">
    <w:name w:val="toc 9"/>
    <w:basedOn w:val="188"/>
    <w:next w:val="188"/>
    <w:uiPriority w:val="39"/>
    <w:unhideWhenUsed/>
    <w:pPr>
      <w:ind w:left="2268"/>
      <w:spacing w:after="57"/>
    </w:pPr>
  </w:style>
  <w:style w:type="paragraph" w:styleId="256">
    <w:name w:val="TOC Heading"/>
    <w:uiPriority w:val="39"/>
    <w:unhideWhenUsed/>
  </w:style>
  <w:style w:type="character" w:styleId="257" w:customStyle="1">
    <w:name w:val="Заголовок 1 Знак"/>
    <w:link w:val="189"/>
    <w:uiPriority w:val="99"/>
    <w:rPr>
      <w:rFonts w:ascii="Times New Roman" w:hAnsi="Times New Roman" w:cs="Times New Roman"/>
      <w:b/>
      <w:sz w:val="20"/>
      <w:lang w:val="uk-UA" w:eastAsia="ru-RU"/>
    </w:rPr>
  </w:style>
  <w:style w:type="paragraph" w:styleId="258">
    <w:name w:val="Balloon Text"/>
    <w:basedOn w:val="188"/>
    <w:link w:val="260"/>
    <w:uiPriority w:val="99"/>
    <w:semiHidden/>
    <w:rPr>
      <w:rFonts w:ascii="Segoe UI" w:hAnsi="Segoe UI" w:cs="Segoe UI"/>
      <w:sz w:val="18"/>
      <w:szCs w:val="18"/>
    </w:rPr>
  </w:style>
  <w:style w:type="character" w:styleId="259" w:customStyle="1">
    <w:name w:val="rvts46"/>
    <w:uiPriority w:val="99"/>
  </w:style>
  <w:style w:type="character" w:styleId="260" w:customStyle="1">
    <w:name w:val="Текст выноски Знак"/>
    <w:link w:val="258"/>
    <w:uiPriority w:val="99"/>
    <w:semiHidden/>
    <w:rPr>
      <w:rFonts w:ascii="Segoe UI" w:hAnsi="Segoe UI" w:cs="Times New Roman"/>
      <w:sz w:val="18"/>
      <w:lang w:val="uk-UA"/>
    </w:rPr>
  </w:style>
  <w:style w:type="paragraph" w:styleId="261" w:customStyle="1">
    <w:name w:val="rvps2"/>
    <w:basedOn w:val="188"/>
    <w:uiPriority w:val="99"/>
    <w:rPr>
      <w:sz w:val="24"/>
      <w:szCs w:val="24"/>
      <w:lang w:eastAsia="uk-UA"/>
    </w:rPr>
    <w:pPr>
      <w:spacing w:after="100" w:afterAutospacing="1" w:before="100" w:beforeAutospacing="1"/>
    </w:pPr>
  </w:style>
  <w:style w:type="character" w:styleId="262" w:customStyle="1">
    <w:name w:val="apple-converted-space"/>
  </w:style>
  <w:style w:type="character" w:styleId="263">
    <w:name w:val="Hyperlink"/>
    <w:uiPriority w:val="99"/>
    <w:semiHidden/>
    <w:rPr>
      <w:rFonts w:cs="Times New Roman"/>
      <w:color w:val="0000FF"/>
      <w:u w:val="single"/>
    </w:rPr>
  </w:style>
  <w:style w:type="character" w:styleId="264" w:customStyle="1">
    <w:name w:val="Знак Знак2"/>
    <w:uiPriority w:val="99"/>
    <w:rPr>
      <w:b/>
      <w:sz w:val="32"/>
      <w:lang w:val="uk-UA"/>
    </w:rPr>
  </w:style>
  <w:style w:type="paragraph" w:styleId="265" w:customStyle="1">
    <w:name w:val="Титулка"/>
    <w:basedOn w:val="188"/>
    <w:uiPriority w:val="99"/>
    <w:rPr>
      <w:b/>
      <w:sz w:val="28"/>
      <w:lang w:eastAsia="ar-SA"/>
    </w:rPr>
    <w:pPr>
      <w:spacing w:after="120"/>
    </w:pPr>
  </w:style>
  <w:style w:type="character" w:styleId="266" w:customStyle="1">
    <w:name w:val="Знак Знак11"/>
    <w:uiPriority w:val="99"/>
    <w:rPr>
      <w:rFonts w:ascii="Times New Roman" w:hAnsi="Times New Roman"/>
      <w:b/>
      <w:sz w:val="20"/>
      <w:lang w:val="uk-UA" w:eastAsia="ru-RU"/>
    </w:rPr>
  </w:style>
  <w:style w:type="table" w:styleId="267">
    <w:name w:val="Table Grid"/>
    <w:basedOn w:val="199"/>
    <w:uiPriority w:val="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268" w:customStyle="1">
    <w:name w:val="Заголовок 3 Знак"/>
    <w:link w:val="191"/>
    <w:uiPriority w:val="9"/>
    <w:semiHidden/>
    <w:rPr>
      <w:rFonts w:ascii="Calibri Light" w:hAnsi="Calibri Light" w:cs="Times New Roman" w:eastAsia="Times New Roman"/>
      <w:b/>
      <w:bCs/>
      <w:sz w:val="26"/>
      <w:szCs w:val="26"/>
      <w:lang w:eastAsia="ru-RU"/>
    </w:rPr>
  </w:style>
  <w:style w:type="character" w:styleId="269">
    <w:name w:val="Strong"/>
    <w:qFormat/>
    <w:rPr>
      <w:rFonts w:cs="Times New Roman"/>
      <w:b/>
      <w:bCs/>
    </w:rPr>
  </w:style>
  <w:style w:type="paragraph" w:styleId="270">
    <w:name w:val="Normal (Web)"/>
    <w:basedOn w:val="188"/>
    <w:rPr>
      <w:sz w:val="24"/>
      <w:szCs w:val="24"/>
      <w:lang w:eastAsia="uk-UA"/>
    </w:rPr>
    <w:pPr>
      <w:spacing w:after="100" w:afterAutospacing="1" w:before="100" w:beforeAutospacing="1"/>
    </w:pPr>
  </w:style>
  <w:style w:type="paragraph" w:styleId="271" w:customStyle="1">
    <w:name w:val="rvps29"/>
    <w:basedOn w:val="188"/>
    <w:rPr>
      <w:sz w:val="24"/>
      <w:szCs w:val="24"/>
      <w:lang w:val="ru-RU"/>
    </w:rPr>
    <w:pPr>
      <w:spacing w:after="100" w:afterAutospacing="1" w:before="100" w:beforeAutospacing="1"/>
    </w:pPr>
  </w:style>
  <w:style w:type="paragraph" w:styleId="272">
    <w:name w:val="Plain Text"/>
    <w:basedOn w:val="188"/>
    <w:link w:val="273"/>
    <w:rPr>
      <w:rFonts w:ascii="Courier New" w:hAnsi="Courier New" w:cs="Courier New"/>
      <w:lang w:val="ru-RU"/>
    </w:rPr>
  </w:style>
  <w:style w:type="character" w:styleId="273" w:customStyle="1">
    <w:name w:val="Текст Знак"/>
    <w:link w:val="272"/>
    <w:rPr>
      <w:rFonts w:ascii="Courier New" w:hAnsi="Courier New" w:cs="Courier New"/>
      <w:sz w:val="20"/>
      <w:szCs w:val="20"/>
      <w:lang w:val="ru-RU" w:eastAsia="ru-RU"/>
    </w:rPr>
  </w:style>
  <w:style w:type="character" w:styleId="274" w:customStyle="1">
    <w:name w:val="rvts0"/>
    <w:rPr>
      <w:rFonts w:cs="Times New Roman"/>
    </w:rPr>
  </w:style>
  <w:style w:type="paragraph" w:styleId="275" w:customStyle="1">
    <w:name w:val="Без интервала1"/>
    <w:rPr>
      <w:rFonts w:cs="Times New Roman"/>
      <w:sz w:val="22"/>
      <w:lang w:val="ru-RU" w:eastAsia="en-US"/>
    </w:rPr>
  </w:style>
  <w:style w:type="character" w:styleId="276" w:customStyle="1">
    <w:name w:val="Стиль2"/>
    <w:rPr>
      <w:rFonts w:cs="Times New Roman"/>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