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4"/>
          <w:szCs w:val="28"/>
        </w:rPr>
      </w:pPr>
      <w:r>
        <w:rPr>
          <w:b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18158" cy="739138"/>
                <wp:effectExtent l="0" t="0" r="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1816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0.8pt;height:58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РАДА</w:t>
      </w:r>
      <w:r/>
    </w:p>
    <w:p>
      <w:pPr>
        <w:pStyle w:val="187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тридцять п’ята </w:t>
      </w:r>
      <w:r>
        <w:rPr>
          <w:b/>
          <w:color w:val="000000"/>
          <w:sz w:val="28"/>
          <w:szCs w:val="28"/>
        </w:rPr>
        <w:t xml:space="preserve">сесія сьомого скликання )</w:t>
      </w:r>
      <w:r/>
    </w:p>
    <w:p>
      <w:pPr>
        <w:pStyle w:val="263"/>
        <w:jc w:val="center"/>
        <w:rPr>
          <w:szCs w:val="28"/>
        </w:rPr>
      </w:pPr>
      <w:r>
        <w:rPr>
          <w:szCs w:val="28"/>
        </w:rPr>
        <w:t xml:space="preserve">РІШЕННЯ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26</w:t>
      </w:r>
      <w:r>
        <w:rPr>
          <w:sz w:val="28"/>
          <w:szCs w:val="28"/>
        </w:rPr>
        <w:t xml:space="preserve"> листопада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568</w:t>
      </w:r>
      <w:r/>
    </w:p>
    <w:p>
      <w:pPr>
        <w:ind w:left="0" w:right="4960" w:hanging="0"/>
        <w:jc w:val="both"/>
        <w:spacing w:after="113" w:afterAutospacing="0" w:before="113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технічної документації із землеустрою щодо проведення нормативної грошової оцінки земель населених пунктів Менської об’єднаної територіальної громади</w:t>
      </w:r>
      <w:r/>
    </w:p>
    <w:p>
      <w:pPr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технічну документацію по розрахунку нормативної грошової оцінки населених пунктів: с. Блистова, с. Дерепівка, с. Бірківка, с. Куковицьке, с. Величківка, с. Вільне, с. Дягова, с. Киселівка, с. Комарівка, с. Прогрес, с. Осьмаки, с. Садове, с. Нові</w:t>
      </w:r>
      <w:r>
        <w:rPr>
          <w:sz w:val="28"/>
          <w:szCs w:val="28"/>
        </w:rPr>
        <w:t xml:space="preserve"> Броди, с. Семенівка, с. Синявка, с. Слобідка, с. Феськівка, с. Остапівка, смт. Макошине, Менського району виготовлену інститутом землеустрою та земельно-правових відносин, </w:t>
      </w:r>
      <w:r>
        <w:rPr>
          <w:sz w:val="28"/>
          <w:szCs w:val="28"/>
        </w:rPr>
        <w:t xml:space="preserve">враховуючи рішення 33 сесії 7 скликання від 28 серпня за № 448, </w:t>
      </w:r>
      <w:r>
        <w:rPr>
          <w:sz w:val="28"/>
          <w:szCs w:val="28"/>
        </w:rPr>
        <w:t xml:space="preserve">керуючись Законом України «Про оцінку земель», та ст. 26 Закону України «Про місцеве самоврядування в Україні», Менська міська рада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І Ш И Л А: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технічну документацію із землеустрою виготовлену інститутом землеустрою та земельно-правових відносин щодо проведення нормативної грошової оцінки земель в межах наступних </w:t>
      </w:r>
      <w:bookmarkStart w:id="0" w:name="_Hlk15993414"/>
      <w:r>
        <w:rPr>
          <w:sz w:val="28"/>
          <w:szCs w:val="28"/>
        </w:rPr>
        <w:t xml:space="preserve">населених пунктів: </w:t>
      </w:r>
      <w:bookmarkStart w:id="1" w:name="_Hlk15994899"/>
      <w:r>
        <w:rPr>
          <w:sz w:val="28"/>
          <w:szCs w:val="28"/>
        </w:rPr>
        <w:t xml:space="preserve">с. Блистова, с. Дерепівка, с. Бірківка, с. Куковицьке, с. Величківка, с. Вільне, с. Дягова, с. Киселівка, с. Комарівка, с. Прогрес, с. Осьмаки, с. Садове, с. Нові Броди, с. Семенівка, с. Синявка, с. Слобідка, </w:t>
      </w:r>
      <w:r>
        <w:rPr>
          <w:sz w:val="28"/>
          <w:szCs w:val="28"/>
        </w:rPr>
        <w:t xml:space="preserve">с. Феськівка, с. Остапівка, смт</w:t>
      </w:r>
      <w:r>
        <w:rPr>
          <w:sz w:val="28"/>
          <w:szCs w:val="28"/>
        </w:rPr>
        <w:t xml:space="preserve"> Макошине,</w:t>
      </w:r>
      <w:bookmarkEnd w:id="1"/>
      <w:r>
        <w:rPr>
          <w:sz w:val="28"/>
          <w:szCs w:val="28"/>
        </w:rPr>
        <w:t xml:space="preserve"> Менського району Чернігівської обл</w:t>
      </w:r>
      <w:r>
        <w:rPr>
          <w:sz w:val="28"/>
          <w:szCs w:val="28"/>
        </w:rPr>
        <w:t xml:space="preserve">асті</w:t>
      </w:r>
      <w:r>
        <w:rPr>
          <w:sz w:val="28"/>
          <w:szCs w:val="28"/>
        </w:rPr>
        <w:t xml:space="preserve">.</w:t>
      </w:r>
      <w:bookmarkEnd w:id="0"/>
      <w:r/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Встановити середню базову вартість земель 1 м</w:t>
      </w:r>
      <w:r>
        <w:rPr>
          <w:sz w:val="28"/>
          <w:szCs w:val="28"/>
          <w:vertAlign w:val="superscript"/>
        </w:rPr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обчисленої відповідно до «Порядку нормативної грошової оцінки земель сільськогосподарського призначення та населених пунктів» в ме</w:t>
      </w:r>
      <w:r>
        <w:rPr>
          <w:sz w:val="28"/>
          <w:szCs w:val="28"/>
        </w:rPr>
        <w:t xml:space="preserve">жах наступних населених пунктів</w:t>
      </w:r>
      <w:r>
        <w:rPr>
          <w:sz w:val="28"/>
          <w:szCs w:val="28"/>
        </w:rPr>
        <w:t xml:space="preserve"> становить</w:t>
      </w:r>
      <w:r>
        <w:rPr>
          <w:sz w:val="28"/>
          <w:szCs w:val="28"/>
        </w:rPr>
        <w:t xml:space="preserve">: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 Блистова </w:t>
      </w:r>
      <w:bookmarkStart w:id="2" w:name="_Hlk15995114"/>
      <w:r>
        <w:rPr>
          <w:sz w:val="28"/>
          <w:szCs w:val="28"/>
        </w:rPr>
        <w:t xml:space="preserve">- </w:t>
      </w:r>
      <w:bookmarkEnd w:id="2"/>
      <w:r>
        <w:rPr>
          <w:sz w:val="28"/>
          <w:szCs w:val="28"/>
        </w:rPr>
        <w:t xml:space="preserve">58,10 грн</w:t>
      </w:r>
      <w:r>
        <w:rPr>
          <w:sz w:val="28"/>
          <w:szCs w:val="28"/>
        </w:rPr>
        <w:t xml:space="preserve">/м</w:t>
      </w:r>
      <w:r>
        <w:rPr>
          <w:sz w:val="28"/>
          <w:szCs w:val="28"/>
          <w:vertAlign w:val="superscript"/>
        </w:rPr>
        <w:t xml:space="preserve">2</w:t>
      </w:r>
      <w:r>
        <w:rPr>
          <w:sz w:val="28"/>
          <w:szCs w:val="28"/>
        </w:rPr>
        <w:t xml:space="preserve">,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 Дерепівка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29,46 </w:t>
      </w:r>
      <w:r>
        <w:rPr>
          <w:sz w:val="28"/>
          <w:szCs w:val="28"/>
        </w:rPr>
        <w:t xml:space="preserve">грн/</w:t>
      </w:r>
      <w:r>
        <w:rPr>
          <w:sz w:val="28"/>
          <w:szCs w:val="28"/>
        </w:rPr>
        <w:t xml:space="preserve">м</w:t>
      </w:r>
      <w:r>
        <w:rPr>
          <w:sz w:val="28"/>
          <w:szCs w:val="28"/>
          <w:vertAlign w:val="superscript"/>
        </w:rPr>
        <w:t xml:space="preserve">2</w:t>
      </w:r>
      <w:r>
        <w:rPr>
          <w:sz w:val="28"/>
          <w:szCs w:val="28"/>
        </w:rPr>
        <w:t xml:space="preserve">,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 Бірківка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67,90 </w:t>
      </w:r>
      <w:r>
        <w:rPr>
          <w:sz w:val="28"/>
          <w:szCs w:val="28"/>
        </w:rPr>
        <w:t xml:space="preserve">грн/</w:t>
      </w:r>
      <w:r>
        <w:rPr>
          <w:sz w:val="28"/>
          <w:szCs w:val="28"/>
        </w:rPr>
        <w:t xml:space="preserve">м</w:t>
      </w:r>
      <w:r>
        <w:rPr>
          <w:sz w:val="28"/>
          <w:szCs w:val="28"/>
          <w:vertAlign w:val="superscript"/>
        </w:rPr>
        <w:t xml:space="preserve">2</w:t>
      </w:r>
      <w:r>
        <w:rPr>
          <w:sz w:val="28"/>
          <w:szCs w:val="28"/>
        </w:rPr>
        <w:t xml:space="preserve">,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 Куковицьке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27,84</w:t>
      </w:r>
      <w:r>
        <w:rPr>
          <w:sz w:val="28"/>
          <w:szCs w:val="28"/>
        </w:rPr>
        <w:t xml:space="preserve"> грн/</w:t>
      </w:r>
      <w:r>
        <w:rPr>
          <w:sz w:val="28"/>
          <w:szCs w:val="28"/>
        </w:rPr>
        <w:t xml:space="preserve">м</w:t>
      </w:r>
      <w:r>
        <w:rPr>
          <w:sz w:val="28"/>
          <w:szCs w:val="28"/>
          <w:vertAlign w:val="superscript"/>
        </w:rPr>
        <w:t xml:space="preserve">2</w:t>
      </w:r>
      <w:r>
        <w:rPr>
          <w:sz w:val="28"/>
          <w:szCs w:val="28"/>
        </w:rPr>
        <w:t xml:space="preserve">,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 Величківка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69,30 </w:t>
      </w:r>
      <w:r>
        <w:rPr>
          <w:sz w:val="28"/>
          <w:szCs w:val="28"/>
        </w:rPr>
        <w:t xml:space="preserve">грн/</w:t>
      </w:r>
      <w:r>
        <w:rPr>
          <w:sz w:val="28"/>
          <w:szCs w:val="28"/>
        </w:rPr>
        <w:t xml:space="preserve">м</w:t>
      </w:r>
      <w:r>
        <w:rPr>
          <w:sz w:val="28"/>
          <w:szCs w:val="28"/>
          <w:vertAlign w:val="superscript"/>
        </w:rPr>
        <w:t xml:space="preserve">2</w:t>
      </w:r>
      <w:r>
        <w:rPr>
          <w:sz w:val="28"/>
          <w:szCs w:val="28"/>
        </w:rPr>
        <w:t xml:space="preserve">,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 Вільне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46,52 </w:t>
      </w:r>
      <w:r>
        <w:rPr>
          <w:sz w:val="28"/>
          <w:szCs w:val="28"/>
        </w:rPr>
        <w:t xml:space="preserve">грн/</w:t>
      </w:r>
      <w:r>
        <w:rPr>
          <w:sz w:val="28"/>
          <w:szCs w:val="28"/>
        </w:rPr>
        <w:t xml:space="preserve">м</w:t>
      </w:r>
      <w:r>
        <w:rPr>
          <w:sz w:val="28"/>
          <w:szCs w:val="28"/>
          <w:vertAlign w:val="superscript"/>
        </w:rPr>
        <w:t xml:space="preserve">2</w:t>
      </w:r>
      <w:r>
        <w:rPr>
          <w:sz w:val="28"/>
          <w:szCs w:val="28"/>
        </w:rPr>
        <w:t xml:space="preserve">,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 Дягова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50,58</w:t>
      </w:r>
      <w:r>
        <w:rPr>
          <w:sz w:val="28"/>
          <w:szCs w:val="28"/>
        </w:rPr>
        <w:t xml:space="preserve"> грн/</w:t>
      </w:r>
      <w:r>
        <w:rPr>
          <w:sz w:val="28"/>
          <w:szCs w:val="28"/>
        </w:rPr>
        <w:t xml:space="preserve">м</w:t>
      </w:r>
      <w:r>
        <w:rPr>
          <w:sz w:val="28"/>
          <w:szCs w:val="28"/>
          <w:vertAlign w:val="superscript"/>
        </w:rPr>
        <w:t xml:space="preserve">2</w:t>
      </w:r>
      <w:r>
        <w:rPr>
          <w:sz w:val="28"/>
          <w:szCs w:val="28"/>
        </w:rPr>
        <w:t xml:space="preserve">,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 Киселівка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78,32 </w:t>
      </w:r>
      <w:r>
        <w:rPr>
          <w:sz w:val="28"/>
          <w:szCs w:val="28"/>
        </w:rPr>
        <w:t xml:space="preserve">грн/</w:t>
      </w:r>
      <w:r>
        <w:rPr>
          <w:sz w:val="28"/>
          <w:szCs w:val="28"/>
        </w:rPr>
        <w:t xml:space="preserve">м</w:t>
      </w:r>
      <w:r>
        <w:rPr>
          <w:sz w:val="28"/>
          <w:szCs w:val="28"/>
          <w:vertAlign w:val="superscript"/>
        </w:rPr>
        <w:t xml:space="preserve">2</w:t>
      </w:r>
      <w:r>
        <w:rPr>
          <w:sz w:val="28"/>
          <w:szCs w:val="28"/>
        </w:rPr>
        <w:t xml:space="preserve">,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 Комарівка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25,56 </w:t>
      </w:r>
      <w:r>
        <w:rPr>
          <w:sz w:val="28"/>
          <w:szCs w:val="28"/>
        </w:rPr>
        <w:t xml:space="preserve">грн/</w:t>
      </w:r>
      <w:r>
        <w:rPr>
          <w:sz w:val="28"/>
          <w:szCs w:val="28"/>
        </w:rPr>
        <w:t xml:space="preserve">м</w:t>
      </w:r>
      <w:r>
        <w:rPr>
          <w:sz w:val="28"/>
          <w:szCs w:val="28"/>
          <w:vertAlign w:val="superscript"/>
        </w:rPr>
        <w:t xml:space="preserve">2</w:t>
      </w:r>
      <w:r>
        <w:rPr>
          <w:sz w:val="28"/>
          <w:szCs w:val="28"/>
        </w:rPr>
        <w:t xml:space="preserve">,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 Прогрес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29,82 </w:t>
      </w:r>
      <w:r>
        <w:rPr>
          <w:sz w:val="28"/>
          <w:szCs w:val="28"/>
        </w:rPr>
        <w:t xml:space="preserve">грн/</w:t>
      </w:r>
      <w:r>
        <w:rPr>
          <w:sz w:val="28"/>
          <w:szCs w:val="28"/>
        </w:rPr>
        <w:t xml:space="preserve">м</w:t>
      </w:r>
      <w:r>
        <w:rPr>
          <w:sz w:val="28"/>
          <w:szCs w:val="28"/>
          <w:vertAlign w:val="superscript"/>
        </w:rPr>
        <w:t xml:space="preserve">2</w:t>
      </w:r>
      <w:r>
        <w:rPr>
          <w:sz w:val="28"/>
          <w:szCs w:val="28"/>
        </w:rPr>
        <w:t xml:space="preserve">,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 Осьмаки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50,56 </w:t>
      </w:r>
      <w:r>
        <w:rPr>
          <w:sz w:val="28"/>
          <w:szCs w:val="28"/>
        </w:rPr>
        <w:t xml:space="preserve">грн/</w:t>
      </w:r>
      <w:r>
        <w:rPr>
          <w:sz w:val="28"/>
          <w:szCs w:val="28"/>
        </w:rPr>
        <w:t xml:space="preserve">м</w:t>
      </w:r>
      <w:r>
        <w:rPr>
          <w:sz w:val="28"/>
          <w:szCs w:val="28"/>
          <w:vertAlign w:val="superscript"/>
        </w:rPr>
        <w:t xml:space="preserve">2</w:t>
      </w:r>
      <w:r>
        <w:rPr>
          <w:sz w:val="28"/>
          <w:szCs w:val="28"/>
        </w:rPr>
        <w:t xml:space="preserve">,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 Садове -</w:t>
      </w:r>
      <w:r>
        <w:rPr>
          <w:sz w:val="28"/>
          <w:szCs w:val="28"/>
        </w:rPr>
        <w:t xml:space="preserve"> 33,14 </w:t>
      </w:r>
      <w:r>
        <w:rPr>
          <w:sz w:val="28"/>
          <w:szCs w:val="28"/>
        </w:rPr>
        <w:t xml:space="preserve">грн/</w:t>
      </w:r>
      <w:r>
        <w:rPr>
          <w:sz w:val="28"/>
          <w:szCs w:val="28"/>
        </w:rPr>
        <w:t xml:space="preserve">м</w:t>
      </w:r>
      <w:r>
        <w:rPr>
          <w:sz w:val="28"/>
          <w:szCs w:val="28"/>
          <w:vertAlign w:val="superscript"/>
        </w:rPr>
        <w:t xml:space="preserve">2</w:t>
      </w:r>
      <w:r>
        <w:rPr>
          <w:sz w:val="28"/>
          <w:szCs w:val="28"/>
        </w:rPr>
        <w:t xml:space="preserve">,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 Нові Броди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32,18 </w:t>
      </w:r>
      <w:r>
        <w:rPr>
          <w:sz w:val="28"/>
          <w:szCs w:val="28"/>
        </w:rPr>
        <w:t xml:space="preserve">грн/</w:t>
      </w:r>
      <w:r>
        <w:rPr>
          <w:sz w:val="28"/>
          <w:szCs w:val="28"/>
        </w:rPr>
        <w:t xml:space="preserve">м</w:t>
      </w:r>
      <w:r>
        <w:rPr>
          <w:sz w:val="28"/>
          <w:szCs w:val="28"/>
          <w:vertAlign w:val="superscript"/>
        </w:rPr>
        <w:t xml:space="preserve">2</w:t>
      </w:r>
      <w:r>
        <w:rPr>
          <w:sz w:val="28"/>
          <w:szCs w:val="28"/>
        </w:rPr>
        <w:t xml:space="preserve">,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 Семенівка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65,96 </w:t>
      </w:r>
      <w:bookmarkStart w:id="3" w:name="_Hlk15996410"/>
      <w:r>
        <w:rPr>
          <w:sz w:val="28"/>
          <w:szCs w:val="28"/>
        </w:rPr>
        <w:t xml:space="preserve">грн/</w:t>
      </w:r>
      <w:r>
        <w:rPr>
          <w:sz w:val="28"/>
          <w:szCs w:val="28"/>
        </w:rPr>
        <w:t xml:space="preserve">м</w:t>
      </w:r>
      <w:r>
        <w:rPr>
          <w:sz w:val="28"/>
          <w:szCs w:val="28"/>
          <w:vertAlign w:val="superscript"/>
        </w:rPr>
        <w:t xml:space="preserve">2</w:t>
      </w:r>
      <w:bookmarkEnd w:id="3"/>
      <w:r>
        <w:rPr>
          <w:sz w:val="28"/>
          <w:szCs w:val="28"/>
        </w:rPr>
        <w:t xml:space="preserve">,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 Синявка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69,46 </w:t>
      </w:r>
      <w:bookmarkStart w:id="4" w:name="_Hlk15996530"/>
      <w:r>
        <w:rPr>
          <w:sz w:val="28"/>
          <w:szCs w:val="28"/>
        </w:rPr>
        <w:t xml:space="preserve">грн/</w:t>
      </w:r>
      <w:r>
        <w:rPr>
          <w:sz w:val="28"/>
          <w:szCs w:val="28"/>
        </w:rPr>
        <w:t xml:space="preserve">м</w:t>
      </w:r>
      <w:r>
        <w:rPr>
          <w:sz w:val="28"/>
          <w:szCs w:val="28"/>
          <w:vertAlign w:val="superscript"/>
        </w:rPr>
        <w:t xml:space="preserve">2</w:t>
      </w:r>
      <w:bookmarkEnd w:id="4"/>
      <w:r>
        <w:rPr>
          <w:sz w:val="28"/>
          <w:szCs w:val="28"/>
        </w:rPr>
        <w:t xml:space="preserve">,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 Слобідка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68,04 </w:t>
      </w:r>
      <w:r>
        <w:rPr>
          <w:sz w:val="28"/>
          <w:szCs w:val="28"/>
        </w:rPr>
        <w:t xml:space="preserve">грн/</w:t>
      </w:r>
      <w:r>
        <w:rPr>
          <w:sz w:val="28"/>
          <w:szCs w:val="28"/>
        </w:rPr>
        <w:t xml:space="preserve">м</w:t>
      </w:r>
      <w:r>
        <w:rPr>
          <w:sz w:val="28"/>
          <w:szCs w:val="28"/>
          <w:vertAlign w:val="superscript"/>
        </w:rPr>
        <w:t xml:space="preserve">2</w:t>
      </w:r>
      <w:r>
        <w:rPr>
          <w:sz w:val="28"/>
          <w:szCs w:val="28"/>
        </w:rPr>
        <w:t xml:space="preserve">,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 Феськівка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69,52 </w:t>
      </w:r>
      <w:r>
        <w:rPr>
          <w:sz w:val="28"/>
          <w:szCs w:val="28"/>
        </w:rPr>
        <w:t xml:space="preserve">грн/</w:t>
      </w:r>
      <w:r>
        <w:rPr>
          <w:sz w:val="28"/>
          <w:szCs w:val="28"/>
        </w:rPr>
        <w:t xml:space="preserve">м</w:t>
      </w:r>
      <w:r>
        <w:rPr>
          <w:sz w:val="28"/>
          <w:szCs w:val="28"/>
          <w:vertAlign w:val="superscript"/>
        </w:rPr>
        <w:t xml:space="preserve">2</w:t>
      </w:r>
      <w:r>
        <w:rPr>
          <w:sz w:val="28"/>
          <w:szCs w:val="28"/>
        </w:rPr>
        <w:t xml:space="preserve">,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</w:t>
      </w:r>
      <w:r>
        <w:rPr>
          <w:sz w:val="28"/>
          <w:szCs w:val="28"/>
        </w:rPr>
        <w:t xml:space="preserve"> Остапівка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23,46 грн</w:t>
      </w:r>
      <w:r>
        <w:rPr>
          <w:sz w:val="28"/>
          <w:szCs w:val="28"/>
        </w:rPr>
        <w:t xml:space="preserve">,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смт</w:t>
      </w:r>
      <w:r>
        <w:rPr>
          <w:sz w:val="28"/>
          <w:szCs w:val="28"/>
        </w:rPr>
        <w:t xml:space="preserve"> Макошине</w:t>
      </w:r>
      <w:r>
        <w:rPr>
          <w:sz w:val="28"/>
          <w:szCs w:val="28"/>
        </w:rPr>
        <w:t xml:space="preserve"> </w:t>
      </w:r>
      <w:bookmarkStart w:id="5" w:name="_Hlk15995086"/>
      <w:r>
        <w:rPr>
          <w:sz w:val="28"/>
          <w:szCs w:val="28"/>
        </w:rPr>
        <w:t xml:space="preserve">-</w:t>
      </w:r>
      <w:bookmarkEnd w:id="5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37,82 </w:t>
      </w:r>
      <w:bookmarkStart w:id="6" w:name="_Hlk15996233"/>
      <w:r>
        <w:rPr>
          <w:sz w:val="28"/>
          <w:szCs w:val="28"/>
        </w:rPr>
        <w:t xml:space="preserve">грн/</w:t>
      </w:r>
      <w:r>
        <w:rPr>
          <w:sz w:val="28"/>
          <w:szCs w:val="28"/>
        </w:rPr>
        <w:t xml:space="preserve">м</w:t>
      </w:r>
      <w:r>
        <w:rPr>
          <w:sz w:val="28"/>
          <w:szCs w:val="28"/>
          <w:vertAlign w:val="superscript"/>
        </w:rPr>
        <w:t xml:space="preserve">2</w:t>
      </w:r>
      <w:bookmarkEnd w:id="6"/>
      <w:r>
        <w:rPr>
          <w:sz w:val="28"/>
          <w:szCs w:val="28"/>
        </w:rPr>
        <w:t xml:space="preserve">.</w:t>
      </w:r>
      <w:r/>
    </w:p>
    <w:p>
      <w:pPr>
        <w:ind w:firstLine="426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 Запровадити нормативну грошову оцінку земель у термін, визначений законодавством України.</w:t>
      </w:r>
      <w:r/>
    </w:p>
    <w:p>
      <w:pPr>
        <w:tabs>
          <w:tab w:val="left" w:pos="6946" w:leader="none"/>
          <w:tab w:val="left" w:pos="737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tabs>
          <w:tab w:val="left" w:pos="6946" w:leader="none"/>
          <w:tab w:val="left" w:pos="737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tabs>
          <w:tab w:val="left" w:pos="6946" w:leader="none"/>
          <w:tab w:val="left" w:pos="737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tabs>
          <w:tab w:val="left" w:pos="6946" w:leader="none"/>
          <w:tab w:val="left" w:pos="737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tabs>
          <w:tab w:val="left" w:pos="6946" w:leader="none"/>
          <w:tab w:val="left" w:pos="7371" w:leader="none"/>
        </w:tabs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Г.А. Примаков</w:t>
      </w:r>
      <w:r/>
      <w:bookmarkStart w:id="7" w:name="_GoBack"/>
      <w:r/>
      <w:bookmarkEnd w:id="7"/>
      <w:r/>
      <w:r/>
    </w:p>
    <w:sectPr>
      <w:footnotePr/>
      <w:type w:val="nextPage"/>
      <w:pgSz w:w="11906" w:h="16838"/>
      <w:pgMar w:top="850" w:right="851" w:bottom="680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30102010509060703"/>
  </w:font>
  <w:font w:name="Courier New">
    <w:panose1 w:val="02070309020205020404"/>
  </w:font>
  <w:font w:name="Segoe UI">
    <w:panose1 w:val="020B0502040504020204"/>
  </w:font>
  <w:font w:name="Calibri Light">
    <w:panose1 w:val="020F0502020204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146" w:hanging="358"/>
      </w:pPr>
    </w:lvl>
    <w:lvl w:ilvl="1">
      <w:start w:val="1"/>
      <w:numFmt w:val="lowerLetter"/>
      <w:suff w:val="tab"/>
      <w:lvlText w:val="%2."/>
      <w:lvlJc w:val="left"/>
      <w:pPr>
        <w:ind w:left="1866" w:hanging="358"/>
      </w:pPr>
    </w:lvl>
    <w:lvl w:ilvl="2">
      <w:start w:val="1"/>
      <w:numFmt w:val="lowerRoman"/>
      <w:suff w:val="tab"/>
      <w:lvlText w:val="%3."/>
      <w:lvlJc w:val="right"/>
      <w:pPr>
        <w:ind w:left="2586" w:hanging="178"/>
      </w:pPr>
    </w:lvl>
    <w:lvl w:ilvl="3">
      <w:start w:val="1"/>
      <w:numFmt w:val="decimal"/>
      <w:suff w:val="tab"/>
      <w:lvlText w:val="%4."/>
      <w:lvlJc w:val="left"/>
      <w:pPr>
        <w:ind w:left="3306" w:hanging="358"/>
      </w:pPr>
    </w:lvl>
    <w:lvl w:ilvl="4">
      <w:start w:val="1"/>
      <w:numFmt w:val="lowerLetter"/>
      <w:suff w:val="tab"/>
      <w:lvlText w:val="%5."/>
      <w:lvlJc w:val="left"/>
      <w:pPr>
        <w:ind w:left="4026" w:hanging="358"/>
      </w:pPr>
    </w:lvl>
    <w:lvl w:ilvl="5">
      <w:start w:val="1"/>
      <w:numFmt w:val="lowerRoman"/>
      <w:suff w:val="tab"/>
      <w:lvlText w:val="%6."/>
      <w:lvlJc w:val="right"/>
      <w:pPr>
        <w:ind w:left="4746" w:hanging="178"/>
      </w:pPr>
    </w:lvl>
    <w:lvl w:ilvl="6">
      <w:start w:val="1"/>
      <w:numFmt w:val="decimal"/>
      <w:suff w:val="tab"/>
      <w:lvlText w:val="%7."/>
      <w:lvlJc w:val="left"/>
      <w:pPr>
        <w:ind w:left="5466" w:hanging="358"/>
      </w:pPr>
    </w:lvl>
    <w:lvl w:ilvl="7">
      <w:start w:val="1"/>
      <w:numFmt w:val="lowerLetter"/>
      <w:suff w:val="tab"/>
      <w:lvlText w:val="%8."/>
      <w:lvlJc w:val="left"/>
      <w:pPr>
        <w:ind w:left="6186" w:hanging="358"/>
      </w:pPr>
    </w:lvl>
    <w:lvl w:ilvl="8">
      <w:start w:val="1"/>
      <w:numFmt w:val="lowerRoman"/>
      <w:suff w:val="tab"/>
      <w:lvlText w:val="%9."/>
      <w:lvlJc w:val="right"/>
      <w:pPr>
        <w:ind w:left="6906" w:hanging="178"/>
      </w:pPr>
    </w:lvl>
  </w:abstractNum>
  <w:abstractNum w:abstractNumId="1">
    <w:multiLevelType w:val="hybridMultilevel"/>
    <w:lvl w:ilvl="0">
      <w:start w:val="2"/>
      <w:numFmt w:val="bullet"/>
      <w:suff w:val="tab"/>
      <w:lvlText w:val="-"/>
      <w:lvlJc w:val="left"/>
      <w:pPr>
        <w:ind w:left="1002" w:hanging="358"/>
      </w:pPr>
      <w:rPr>
        <w:rFonts w:ascii="Times New Roman" w:hAnsi="Times New Roman" w:eastAsia="Times New Roman" w:hint="default"/>
      </w:rPr>
    </w:lvl>
    <w:lvl w:ilvl="1">
      <w:start w:val="1"/>
      <w:numFmt w:val="bullet"/>
      <w:suff w:val="tab"/>
      <w:lvlText w:val="o"/>
      <w:lvlJc w:val="left"/>
      <w:pPr>
        <w:ind w:left="1722" w:hanging="358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lvlJc w:val="left"/>
      <w:pPr>
        <w:ind w:left="2442" w:hanging="358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162" w:hanging="358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882" w:hanging="358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ind w:left="4602" w:hanging="358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322" w:hanging="358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042" w:hanging="358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ind w:left="6762" w:hanging="358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none"/>
      <w:suff w:val="nothing"/>
      <w:lvlText w:val=""/>
      <w:lvlJc w:val="left"/>
      <w:pPr>
        <w:ind w:left="432" w:hanging="430"/>
        <w:tabs>
          <w:tab w:val="left" w:pos="0" w:leader="none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4"/>
        <w:tabs>
          <w:tab w:val="left" w:pos="0" w:leader="none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18"/>
        <w:tabs>
          <w:tab w:val="left" w:pos="0" w:leader="none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2"/>
        <w:tabs>
          <w:tab w:val="left" w:pos="0" w:leader="none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6"/>
        <w:tabs>
          <w:tab w:val="left" w:pos="0" w:leader="none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0"/>
        <w:tabs>
          <w:tab w:val="left" w:pos="0" w:leader="none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4"/>
        <w:tabs>
          <w:tab w:val="left" w:pos="0" w:leader="none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38"/>
        <w:tabs>
          <w:tab w:val="left" w:pos="0" w:leader="none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2"/>
        <w:tabs>
          <w:tab w:val="left" w:pos="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86" w:hanging="358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506" w:hanging="358"/>
      </w:pPr>
    </w:lvl>
    <w:lvl w:ilvl="2">
      <w:start w:val="1"/>
      <w:numFmt w:val="lowerRoman"/>
      <w:suff w:val="tab"/>
      <w:lvlText w:val="%3."/>
      <w:lvlJc w:val="right"/>
      <w:pPr>
        <w:ind w:left="2226" w:hanging="178"/>
      </w:pPr>
    </w:lvl>
    <w:lvl w:ilvl="3">
      <w:start w:val="1"/>
      <w:numFmt w:val="decimal"/>
      <w:suff w:val="tab"/>
      <w:lvlText w:val="%4."/>
      <w:lvlJc w:val="left"/>
      <w:pPr>
        <w:ind w:left="2946" w:hanging="358"/>
      </w:pPr>
    </w:lvl>
    <w:lvl w:ilvl="4">
      <w:start w:val="1"/>
      <w:numFmt w:val="lowerLetter"/>
      <w:suff w:val="tab"/>
      <w:lvlText w:val="%5."/>
      <w:lvlJc w:val="left"/>
      <w:pPr>
        <w:ind w:left="3666" w:hanging="358"/>
      </w:pPr>
    </w:lvl>
    <w:lvl w:ilvl="5">
      <w:start w:val="1"/>
      <w:numFmt w:val="lowerRoman"/>
      <w:suff w:val="tab"/>
      <w:lvlText w:val="%6."/>
      <w:lvlJc w:val="right"/>
      <w:pPr>
        <w:ind w:left="4386" w:hanging="178"/>
      </w:pPr>
    </w:lvl>
    <w:lvl w:ilvl="6">
      <w:start w:val="1"/>
      <w:numFmt w:val="decimal"/>
      <w:suff w:val="tab"/>
      <w:lvlText w:val="%7."/>
      <w:lvlJc w:val="left"/>
      <w:pPr>
        <w:ind w:left="5106" w:hanging="358"/>
      </w:pPr>
    </w:lvl>
    <w:lvl w:ilvl="7">
      <w:start w:val="1"/>
      <w:numFmt w:val="lowerLetter"/>
      <w:suff w:val="tab"/>
      <w:lvlText w:val="%8."/>
      <w:lvlJc w:val="left"/>
      <w:pPr>
        <w:ind w:left="5826" w:hanging="358"/>
      </w:pPr>
    </w:lvl>
    <w:lvl w:ilvl="8">
      <w:start w:val="1"/>
      <w:numFmt w:val="lowerRoman"/>
      <w:suff w:val="tab"/>
      <w:lvlText w:val="%9."/>
      <w:lvlJc w:val="right"/>
      <w:pPr>
        <w:ind w:left="6546" w:hanging="178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196"/>
    <w:link w:val="188"/>
    <w:uiPriority w:val="9"/>
    <w:rPr>
      <w:rFonts w:ascii="Arial" w:hAnsi="Arial" w:cs="Arial" w:eastAsia="Arial"/>
      <w:sz w:val="34"/>
    </w:rPr>
  </w:style>
  <w:style w:type="character" w:styleId="18">
    <w:name w:val="Heading 4 Char"/>
    <w:basedOn w:val="196"/>
    <w:link w:val="19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196"/>
    <w:link w:val="19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196"/>
    <w:link w:val="19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196"/>
    <w:link w:val="1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196"/>
    <w:link w:val="19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196"/>
    <w:link w:val="195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196"/>
    <w:link w:val="209"/>
    <w:uiPriority w:val="10"/>
    <w:rPr>
      <w:sz w:val="48"/>
      <w:szCs w:val="48"/>
    </w:rPr>
  </w:style>
  <w:style w:type="character" w:styleId="35">
    <w:name w:val="Subtitle Char"/>
    <w:basedOn w:val="196"/>
    <w:link w:val="211"/>
    <w:uiPriority w:val="11"/>
    <w:rPr>
      <w:sz w:val="24"/>
      <w:szCs w:val="24"/>
    </w:rPr>
  </w:style>
  <w:style w:type="character" w:styleId="37">
    <w:name w:val="Quote Char"/>
    <w:link w:val="213"/>
    <w:uiPriority w:val="29"/>
    <w:rPr>
      <w:i/>
    </w:rPr>
  </w:style>
  <w:style w:type="character" w:styleId="39">
    <w:name w:val="Intense Quote Char"/>
    <w:link w:val="215"/>
    <w:uiPriority w:val="30"/>
    <w:rPr>
      <w:i/>
    </w:rPr>
  </w:style>
  <w:style w:type="character" w:styleId="41">
    <w:name w:val="Header Char"/>
    <w:basedOn w:val="196"/>
    <w:link w:val="217"/>
    <w:uiPriority w:val="99"/>
  </w:style>
  <w:style w:type="character" w:styleId="43">
    <w:name w:val="Footer Char"/>
    <w:basedOn w:val="196"/>
    <w:link w:val="219"/>
    <w:uiPriority w:val="99"/>
  </w:style>
  <w:style w:type="character" w:styleId="68">
    <w:name w:val="Footnote Text Char"/>
    <w:link w:val="242"/>
    <w:uiPriority w:val="99"/>
    <w:rPr>
      <w:sz w:val="18"/>
    </w:rPr>
  </w:style>
  <w:style w:type="paragraph" w:styleId="186" w:default="1">
    <w:name w:val="Normal"/>
    <w:qFormat/>
    <w:rPr>
      <w:rFonts w:ascii="Times New Roman" w:hAnsi="Times New Roman" w:cs="Times New Roman"/>
      <w:lang w:eastAsia="ru-RU"/>
    </w:rPr>
  </w:style>
  <w:style w:type="paragraph" w:styleId="187">
    <w:name w:val="Heading 1"/>
    <w:basedOn w:val="186"/>
    <w:next w:val="186"/>
    <w:link w:val="255"/>
    <w:qFormat/>
    <w:uiPriority w:val="99"/>
    <w:rPr>
      <w:b/>
      <w:sz w:val="32"/>
    </w:rPr>
    <w:pPr>
      <w:jc w:val="center"/>
      <w:keepNext/>
      <w:outlineLvl w:val="0"/>
    </w:pPr>
  </w:style>
  <w:style w:type="paragraph" w:styleId="188">
    <w:name w:val="Heading 2"/>
    <w:basedOn w:val="186"/>
    <w:next w:val="186"/>
    <w:link w:val="2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89">
    <w:name w:val="Heading 3"/>
    <w:basedOn w:val="186"/>
    <w:next w:val="186"/>
    <w:link w:val="266"/>
    <w:qFormat/>
    <w:uiPriority w:val="9"/>
    <w:semiHidden/>
    <w:unhideWhenUsed/>
    <w:rPr>
      <w:rFonts w:ascii="Calibri Light" w:hAnsi="Calibri Light"/>
      <w:b/>
      <w:bCs/>
      <w:sz w:val="26"/>
      <w:szCs w:val="26"/>
    </w:rPr>
    <w:pPr>
      <w:keepNext/>
      <w:spacing w:after="60" w:before="240"/>
      <w:outlineLvl w:val="2"/>
    </w:pPr>
  </w:style>
  <w:style w:type="paragraph" w:styleId="190">
    <w:name w:val="Heading 4"/>
    <w:basedOn w:val="186"/>
    <w:next w:val="186"/>
    <w:link w:val="2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1">
    <w:name w:val="Heading 5"/>
    <w:basedOn w:val="186"/>
    <w:next w:val="186"/>
    <w:link w:val="2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192">
    <w:name w:val="Heading 6"/>
    <w:basedOn w:val="186"/>
    <w:next w:val="186"/>
    <w:link w:val="20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193">
    <w:name w:val="Heading 7"/>
    <w:basedOn w:val="186"/>
    <w:next w:val="186"/>
    <w:link w:val="20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194">
    <w:name w:val="Heading 8"/>
    <w:basedOn w:val="186"/>
    <w:next w:val="186"/>
    <w:link w:val="20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195">
    <w:name w:val="Heading 9"/>
    <w:basedOn w:val="186"/>
    <w:next w:val="186"/>
    <w:link w:val="2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6" w:default="1">
    <w:name w:val="Default Paragraph Font"/>
    <w:uiPriority w:val="1"/>
    <w:semiHidden/>
    <w:unhideWhenUsed/>
  </w:style>
  <w:style w:type="table" w:styleId="1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98" w:default="1">
    <w:name w:val="No List"/>
    <w:uiPriority w:val="99"/>
    <w:semiHidden/>
    <w:unhideWhenUsed/>
  </w:style>
  <w:style w:type="character" w:styleId="199" w:customStyle="1">
    <w:name w:val="Heading 1 Char"/>
    <w:basedOn w:val="196"/>
    <w:uiPriority w:val="9"/>
    <w:rPr>
      <w:rFonts w:ascii="Arial" w:hAnsi="Arial" w:cs="Arial" w:eastAsia="Arial"/>
      <w:sz w:val="40"/>
      <w:szCs w:val="40"/>
    </w:rPr>
  </w:style>
  <w:style w:type="character" w:styleId="200" w:customStyle="1">
    <w:name w:val="Заголовок 2 Знак"/>
    <w:basedOn w:val="196"/>
    <w:link w:val="188"/>
    <w:uiPriority w:val="9"/>
    <w:rPr>
      <w:rFonts w:ascii="Arial" w:hAnsi="Arial" w:cs="Arial" w:eastAsia="Arial"/>
      <w:sz w:val="34"/>
    </w:rPr>
  </w:style>
  <w:style w:type="character" w:styleId="201" w:customStyle="1">
    <w:name w:val="Heading 3 Char"/>
    <w:basedOn w:val="196"/>
    <w:uiPriority w:val="9"/>
    <w:rPr>
      <w:rFonts w:ascii="Arial" w:hAnsi="Arial" w:cs="Arial" w:eastAsia="Arial"/>
      <w:sz w:val="30"/>
      <w:szCs w:val="30"/>
    </w:rPr>
  </w:style>
  <w:style w:type="character" w:styleId="202" w:customStyle="1">
    <w:name w:val="Заголовок 4 Знак"/>
    <w:basedOn w:val="196"/>
    <w:link w:val="190"/>
    <w:uiPriority w:val="9"/>
    <w:rPr>
      <w:rFonts w:ascii="Arial" w:hAnsi="Arial" w:cs="Arial" w:eastAsia="Arial"/>
      <w:b/>
      <w:bCs/>
      <w:sz w:val="26"/>
      <w:szCs w:val="26"/>
    </w:rPr>
  </w:style>
  <w:style w:type="character" w:styleId="203" w:customStyle="1">
    <w:name w:val="Заголовок 5 Знак"/>
    <w:basedOn w:val="196"/>
    <w:link w:val="191"/>
    <w:uiPriority w:val="9"/>
    <w:rPr>
      <w:rFonts w:ascii="Arial" w:hAnsi="Arial" w:cs="Arial" w:eastAsia="Arial"/>
      <w:b/>
      <w:bCs/>
      <w:sz w:val="24"/>
      <w:szCs w:val="24"/>
    </w:rPr>
  </w:style>
  <w:style w:type="character" w:styleId="204" w:customStyle="1">
    <w:name w:val="Заголовок 6 Знак"/>
    <w:basedOn w:val="196"/>
    <w:link w:val="192"/>
    <w:uiPriority w:val="9"/>
    <w:rPr>
      <w:rFonts w:ascii="Arial" w:hAnsi="Arial" w:cs="Arial" w:eastAsia="Arial"/>
      <w:b/>
      <w:bCs/>
      <w:sz w:val="22"/>
      <w:szCs w:val="22"/>
    </w:rPr>
  </w:style>
  <w:style w:type="character" w:styleId="205" w:customStyle="1">
    <w:name w:val="Заголовок 7 Знак"/>
    <w:basedOn w:val="196"/>
    <w:link w:val="1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06" w:customStyle="1">
    <w:name w:val="Заголовок 8 Знак"/>
    <w:basedOn w:val="196"/>
    <w:link w:val="194"/>
    <w:uiPriority w:val="9"/>
    <w:rPr>
      <w:rFonts w:ascii="Arial" w:hAnsi="Arial" w:cs="Arial" w:eastAsia="Arial"/>
      <w:i/>
      <w:iCs/>
      <w:sz w:val="22"/>
      <w:szCs w:val="22"/>
    </w:rPr>
  </w:style>
  <w:style w:type="character" w:styleId="207" w:customStyle="1">
    <w:name w:val="Заголовок 9 Знак"/>
    <w:basedOn w:val="196"/>
    <w:link w:val="195"/>
    <w:uiPriority w:val="9"/>
    <w:rPr>
      <w:rFonts w:ascii="Arial" w:hAnsi="Arial" w:cs="Arial" w:eastAsia="Arial"/>
      <w:i/>
      <w:iCs/>
      <w:sz w:val="21"/>
      <w:szCs w:val="21"/>
    </w:rPr>
  </w:style>
  <w:style w:type="paragraph" w:styleId="208">
    <w:name w:val="List Paragraph"/>
    <w:basedOn w:val="186"/>
    <w:qFormat/>
    <w:uiPriority w:val="34"/>
    <w:pPr>
      <w:contextualSpacing w:val="true"/>
      <w:ind w:left="720"/>
    </w:pPr>
  </w:style>
  <w:style w:type="paragraph" w:styleId="209">
    <w:name w:val="Title"/>
    <w:basedOn w:val="186"/>
    <w:next w:val="186"/>
    <w:link w:val="2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10" w:customStyle="1">
    <w:name w:val="Заголовок Знак"/>
    <w:basedOn w:val="196"/>
    <w:link w:val="209"/>
    <w:uiPriority w:val="10"/>
    <w:rPr>
      <w:sz w:val="48"/>
      <w:szCs w:val="48"/>
    </w:rPr>
  </w:style>
  <w:style w:type="paragraph" w:styleId="211">
    <w:name w:val="Subtitle"/>
    <w:basedOn w:val="186"/>
    <w:next w:val="186"/>
    <w:link w:val="212"/>
    <w:qFormat/>
    <w:uiPriority w:val="11"/>
    <w:rPr>
      <w:sz w:val="24"/>
      <w:szCs w:val="24"/>
    </w:rPr>
    <w:pPr>
      <w:spacing w:after="200" w:before="200"/>
    </w:pPr>
  </w:style>
  <w:style w:type="character" w:styleId="212" w:customStyle="1">
    <w:name w:val="Подзаголовок Знак"/>
    <w:basedOn w:val="196"/>
    <w:link w:val="211"/>
    <w:uiPriority w:val="11"/>
    <w:rPr>
      <w:sz w:val="24"/>
      <w:szCs w:val="24"/>
    </w:rPr>
  </w:style>
  <w:style w:type="paragraph" w:styleId="213">
    <w:name w:val="Quote"/>
    <w:basedOn w:val="186"/>
    <w:next w:val="186"/>
    <w:link w:val="214"/>
    <w:qFormat/>
    <w:uiPriority w:val="29"/>
    <w:rPr>
      <w:i/>
    </w:rPr>
    <w:pPr>
      <w:ind w:left="720" w:right="720"/>
    </w:pPr>
  </w:style>
  <w:style w:type="character" w:styleId="214" w:customStyle="1">
    <w:name w:val="Цитата 2 Знак"/>
    <w:link w:val="213"/>
    <w:uiPriority w:val="29"/>
    <w:rPr>
      <w:i/>
    </w:rPr>
  </w:style>
  <w:style w:type="paragraph" w:styleId="215">
    <w:name w:val="Intense Quote"/>
    <w:basedOn w:val="186"/>
    <w:next w:val="186"/>
    <w:link w:val="21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16" w:customStyle="1">
    <w:name w:val="Выделенная цитата Знак"/>
    <w:link w:val="215"/>
    <w:uiPriority w:val="30"/>
    <w:rPr>
      <w:i/>
    </w:rPr>
  </w:style>
  <w:style w:type="paragraph" w:styleId="217">
    <w:name w:val="Header"/>
    <w:basedOn w:val="186"/>
    <w:link w:val="21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18" w:customStyle="1">
    <w:name w:val="Верхний колонтитул Знак"/>
    <w:basedOn w:val="196"/>
    <w:link w:val="217"/>
    <w:uiPriority w:val="99"/>
  </w:style>
  <w:style w:type="paragraph" w:styleId="219">
    <w:name w:val="Footer"/>
    <w:basedOn w:val="186"/>
    <w:link w:val="22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20" w:customStyle="1">
    <w:name w:val="Нижний колонтитул Знак"/>
    <w:basedOn w:val="196"/>
    <w:link w:val="219"/>
    <w:uiPriority w:val="99"/>
  </w:style>
  <w:style w:type="table" w:styleId="221" w:customStyle="1">
    <w:name w:val="Lined"/>
    <w:basedOn w:val="197"/>
    <w:uiPriority w:val="99"/>
    <w:rPr>
      <w:color w:val="404040"/>
      <w:szCs w:val="20"/>
      <w:lang w:val="ru-RU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2" w:customStyle="1">
    <w:name w:val="Lined - Accent 1"/>
    <w:basedOn w:val="197"/>
    <w:uiPriority w:val="99"/>
    <w:rPr>
      <w:color w:val="404040"/>
      <w:szCs w:val="20"/>
      <w:lang w:val="ru-RU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3" w:customStyle="1">
    <w:name w:val="Lined - Accent 2"/>
    <w:basedOn w:val="197"/>
    <w:uiPriority w:val="99"/>
    <w:rPr>
      <w:color w:val="404040"/>
      <w:szCs w:val="20"/>
      <w:lang w:val="ru-RU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4" w:customStyle="1">
    <w:name w:val="Lined - Accent 3"/>
    <w:basedOn w:val="197"/>
    <w:uiPriority w:val="99"/>
    <w:rPr>
      <w:color w:val="404040"/>
      <w:szCs w:val="20"/>
      <w:lang w:val="ru-RU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5" w:customStyle="1">
    <w:name w:val="Lined - Accent 4"/>
    <w:basedOn w:val="197"/>
    <w:uiPriority w:val="99"/>
    <w:rPr>
      <w:color w:val="404040"/>
      <w:szCs w:val="20"/>
      <w:lang w:val="ru-RU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6" w:customStyle="1">
    <w:name w:val="Lined - Accent 5"/>
    <w:basedOn w:val="197"/>
    <w:uiPriority w:val="99"/>
    <w:rPr>
      <w:color w:val="404040"/>
      <w:szCs w:val="20"/>
      <w:lang w:val="ru-RU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7" w:customStyle="1">
    <w:name w:val="Lined - Accent 6"/>
    <w:basedOn w:val="197"/>
    <w:uiPriority w:val="99"/>
    <w:rPr>
      <w:color w:val="404040"/>
      <w:szCs w:val="20"/>
      <w:lang w:val="ru-RU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8" w:customStyle="1">
    <w:name w:val="Bordered"/>
    <w:basedOn w:val="197"/>
    <w:uiPriority w:val="99"/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9" w:customStyle="1">
    <w:name w:val="Bordered - Accent 1"/>
    <w:basedOn w:val="197"/>
    <w:uiPriority w:val="99"/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0" w:customStyle="1">
    <w:name w:val="Bordered - Accent 2"/>
    <w:basedOn w:val="197"/>
    <w:uiPriority w:val="99"/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1" w:customStyle="1">
    <w:name w:val="Bordered - Accent 3"/>
    <w:basedOn w:val="197"/>
    <w:uiPriority w:val="99"/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2" w:customStyle="1">
    <w:name w:val="Bordered - Accent 4"/>
    <w:basedOn w:val="197"/>
    <w:uiPriority w:val="99"/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3" w:customStyle="1">
    <w:name w:val="Bordered - Accent 5"/>
    <w:basedOn w:val="197"/>
    <w:uiPriority w:val="99"/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4" w:customStyle="1">
    <w:name w:val="Bordered - Accent 6"/>
    <w:basedOn w:val="197"/>
    <w:uiPriority w:val="99"/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5" w:customStyle="1">
    <w:name w:val="Bordered &amp; Lined"/>
    <w:basedOn w:val="197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6" w:customStyle="1">
    <w:name w:val="Bordered &amp; Lined - Accent 1"/>
    <w:basedOn w:val="197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7" w:customStyle="1">
    <w:name w:val="Bordered &amp; Lined - Accent 2"/>
    <w:basedOn w:val="197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8" w:customStyle="1">
    <w:name w:val="Bordered &amp; Lined - Accent 3"/>
    <w:basedOn w:val="197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9" w:customStyle="1">
    <w:name w:val="Bordered &amp; Lined - Accent 4"/>
    <w:basedOn w:val="197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0" w:customStyle="1">
    <w:name w:val="Bordered &amp; Lined - Accent 5"/>
    <w:basedOn w:val="197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1" w:customStyle="1">
    <w:name w:val="Bordered &amp; Lined - Accent 6"/>
    <w:basedOn w:val="197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242">
    <w:name w:val="footnote text"/>
    <w:basedOn w:val="186"/>
    <w:link w:val="243"/>
    <w:uiPriority w:val="99"/>
    <w:semiHidden/>
    <w:unhideWhenUsed/>
    <w:rPr>
      <w:sz w:val="18"/>
    </w:rPr>
    <w:pPr>
      <w:spacing w:after="40"/>
    </w:pPr>
  </w:style>
  <w:style w:type="character" w:styleId="243" w:customStyle="1">
    <w:name w:val="Текст сноски Знак"/>
    <w:link w:val="242"/>
    <w:uiPriority w:val="99"/>
    <w:rPr>
      <w:sz w:val="18"/>
    </w:rPr>
  </w:style>
  <w:style w:type="character" w:styleId="244">
    <w:name w:val="footnote reference"/>
    <w:basedOn w:val="196"/>
    <w:uiPriority w:val="99"/>
    <w:unhideWhenUsed/>
    <w:rPr>
      <w:vertAlign w:val="superscript"/>
    </w:rPr>
  </w:style>
  <w:style w:type="paragraph" w:styleId="245">
    <w:name w:val="toc 1"/>
    <w:basedOn w:val="186"/>
    <w:next w:val="186"/>
    <w:uiPriority w:val="39"/>
    <w:unhideWhenUsed/>
    <w:pPr>
      <w:spacing w:after="57"/>
    </w:pPr>
  </w:style>
  <w:style w:type="paragraph" w:styleId="246">
    <w:name w:val="toc 2"/>
    <w:basedOn w:val="186"/>
    <w:next w:val="186"/>
    <w:uiPriority w:val="39"/>
    <w:unhideWhenUsed/>
    <w:pPr>
      <w:ind w:left="283"/>
      <w:spacing w:after="57"/>
    </w:pPr>
  </w:style>
  <w:style w:type="paragraph" w:styleId="247">
    <w:name w:val="toc 3"/>
    <w:basedOn w:val="186"/>
    <w:next w:val="186"/>
    <w:uiPriority w:val="39"/>
    <w:unhideWhenUsed/>
    <w:pPr>
      <w:ind w:left="567"/>
      <w:spacing w:after="57"/>
    </w:pPr>
  </w:style>
  <w:style w:type="paragraph" w:styleId="248">
    <w:name w:val="toc 4"/>
    <w:basedOn w:val="186"/>
    <w:next w:val="186"/>
    <w:uiPriority w:val="39"/>
    <w:unhideWhenUsed/>
    <w:pPr>
      <w:ind w:left="850"/>
      <w:spacing w:after="57"/>
    </w:pPr>
  </w:style>
  <w:style w:type="paragraph" w:styleId="249">
    <w:name w:val="toc 5"/>
    <w:basedOn w:val="186"/>
    <w:next w:val="186"/>
    <w:uiPriority w:val="39"/>
    <w:unhideWhenUsed/>
    <w:pPr>
      <w:ind w:left="1134"/>
      <w:spacing w:after="57"/>
    </w:pPr>
  </w:style>
  <w:style w:type="paragraph" w:styleId="250">
    <w:name w:val="toc 6"/>
    <w:basedOn w:val="186"/>
    <w:next w:val="186"/>
    <w:uiPriority w:val="39"/>
    <w:unhideWhenUsed/>
    <w:pPr>
      <w:ind w:left="1417"/>
      <w:spacing w:after="57"/>
    </w:pPr>
  </w:style>
  <w:style w:type="paragraph" w:styleId="251">
    <w:name w:val="toc 7"/>
    <w:basedOn w:val="186"/>
    <w:next w:val="186"/>
    <w:uiPriority w:val="39"/>
    <w:unhideWhenUsed/>
    <w:pPr>
      <w:ind w:left="1701"/>
      <w:spacing w:after="57"/>
    </w:pPr>
  </w:style>
  <w:style w:type="paragraph" w:styleId="252">
    <w:name w:val="toc 8"/>
    <w:basedOn w:val="186"/>
    <w:next w:val="186"/>
    <w:uiPriority w:val="39"/>
    <w:unhideWhenUsed/>
    <w:pPr>
      <w:ind w:left="1984"/>
      <w:spacing w:after="57"/>
    </w:pPr>
  </w:style>
  <w:style w:type="paragraph" w:styleId="253">
    <w:name w:val="toc 9"/>
    <w:basedOn w:val="186"/>
    <w:next w:val="186"/>
    <w:uiPriority w:val="39"/>
    <w:unhideWhenUsed/>
    <w:pPr>
      <w:ind w:left="2268"/>
      <w:spacing w:after="57"/>
    </w:pPr>
  </w:style>
  <w:style w:type="paragraph" w:styleId="254">
    <w:name w:val="TOC Heading"/>
    <w:uiPriority w:val="39"/>
    <w:unhideWhenUsed/>
  </w:style>
  <w:style w:type="character" w:styleId="255" w:customStyle="1">
    <w:name w:val="Заголовок 1 Знак"/>
    <w:link w:val="187"/>
    <w:uiPriority w:val="99"/>
    <w:rPr>
      <w:rFonts w:ascii="Times New Roman" w:hAnsi="Times New Roman" w:cs="Times New Roman"/>
      <w:b/>
      <w:sz w:val="20"/>
      <w:lang w:val="uk-UA" w:eastAsia="ru-RU"/>
    </w:rPr>
  </w:style>
  <w:style w:type="paragraph" w:styleId="256">
    <w:name w:val="Balloon Text"/>
    <w:basedOn w:val="186"/>
    <w:link w:val="258"/>
    <w:uiPriority w:val="99"/>
    <w:semiHidden/>
    <w:rPr>
      <w:rFonts w:ascii="Segoe UI" w:hAnsi="Segoe UI" w:cs="Segoe UI"/>
      <w:sz w:val="18"/>
      <w:szCs w:val="18"/>
    </w:rPr>
  </w:style>
  <w:style w:type="character" w:styleId="257" w:customStyle="1">
    <w:name w:val="rvts46"/>
    <w:uiPriority w:val="99"/>
  </w:style>
  <w:style w:type="character" w:styleId="258" w:customStyle="1">
    <w:name w:val="Текст выноски Знак"/>
    <w:link w:val="256"/>
    <w:uiPriority w:val="99"/>
    <w:semiHidden/>
    <w:rPr>
      <w:rFonts w:ascii="Segoe UI" w:hAnsi="Segoe UI" w:cs="Times New Roman"/>
      <w:sz w:val="18"/>
      <w:lang w:val="uk-UA"/>
    </w:rPr>
  </w:style>
  <w:style w:type="paragraph" w:styleId="259" w:customStyle="1">
    <w:name w:val="rvps2"/>
    <w:basedOn w:val="186"/>
    <w:uiPriority w:val="99"/>
    <w:rPr>
      <w:sz w:val="24"/>
      <w:szCs w:val="24"/>
      <w:lang w:eastAsia="uk-UA"/>
    </w:rPr>
    <w:pPr>
      <w:spacing w:after="100" w:afterAutospacing="1" w:before="100" w:beforeAutospacing="1"/>
    </w:pPr>
  </w:style>
  <w:style w:type="character" w:styleId="260" w:customStyle="1">
    <w:name w:val="apple-converted-space"/>
  </w:style>
  <w:style w:type="character" w:styleId="261">
    <w:name w:val="Hyperlink"/>
    <w:uiPriority w:val="99"/>
    <w:semiHidden/>
    <w:rPr>
      <w:rFonts w:cs="Times New Roman"/>
      <w:color w:val="0000FF"/>
      <w:u w:val="single"/>
    </w:rPr>
  </w:style>
  <w:style w:type="character" w:styleId="262" w:customStyle="1">
    <w:name w:val="Знак Знак2"/>
    <w:uiPriority w:val="99"/>
    <w:rPr>
      <w:b/>
      <w:sz w:val="32"/>
      <w:lang w:val="uk-UA"/>
    </w:rPr>
  </w:style>
  <w:style w:type="paragraph" w:styleId="263" w:customStyle="1">
    <w:name w:val="Титулка"/>
    <w:basedOn w:val="186"/>
    <w:uiPriority w:val="99"/>
    <w:rPr>
      <w:b/>
      <w:sz w:val="28"/>
      <w:lang w:eastAsia="ar-SA"/>
    </w:rPr>
    <w:pPr>
      <w:spacing w:after="120"/>
    </w:pPr>
  </w:style>
  <w:style w:type="character" w:styleId="264" w:customStyle="1">
    <w:name w:val="Знак Знак11"/>
    <w:uiPriority w:val="99"/>
    <w:rPr>
      <w:rFonts w:ascii="Times New Roman" w:hAnsi="Times New Roman"/>
      <w:b/>
      <w:sz w:val="20"/>
      <w:lang w:val="uk-UA" w:eastAsia="ru-RU"/>
    </w:rPr>
  </w:style>
  <w:style w:type="table" w:styleId="265">
    <w:name w:val="Table Grid"/>
    <w:basedOn w:val="197"/>
    <w:uiPriority w:val="3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266" w:customStyle="1">
    <w:name w:val="Заголовок 3 Знак"/>
    <w:link w:val="189"/>
    <w:uiPriority w:val="9"/>
    <w:semiHidden/>
    <w:rPr>
      <w:rFonts w:ascii="Calibri Light" w:hAnsi="Calibri Light" w:cs="Times New Roman" w:eastAsia="Times New Roman"/>
      <w:b/>
      <w:bCs/>
      <w:sz w:val="26"/>
      <w:szCs w:val="26"/>
      <w:lang w:eastAsia="ru-RU"/>
    </w:rPr>
  </w:style>
  <w:style w:type="character" w:styleId="267">
    <w:name w:val="Strong"/>
    <w:qFormat/>
    <w:rPr>
      <w:rFonts w:cs="Times New Roman"/>
      <w:b/>
      <w:bCs/>
    </w:rPr>
  </w:style>
  <w:style w:type="paragraph" w:styleId="268">
    <w:name w:val="Normal (Web)"/>
    <w:basedOn w:val="186"/>
    <w:rPr>
      <w:sz w:val="24"/>
      <w:szCs w:val="24"/>
      <w:lang w:eastAsia="uk-UA"/>
    </w:rPr>
    <w:pPr>
      <w:spacing w:after="100" w:afterAutospacing="1" w:before="100" w:beforeAutospacing="1"/>
    </w:pPr>
  </w:style>
  <w:style w:type="paragraph" w:styleId="269" w:customStyle="1">
    <w:name w:val="rvps29"/>
    <w:basedOn w:val="186"/>
    <w:rPr>
      <w:sz w:val="24"/>
      <w:szCs w:val="24"/>
      <w:lang w:val="ru-RU"/>
    </w:rPr>
    <w:pPr>
      <w:spacing w:after="100" w:afterAutospacing="1" w:before="100" w:beforeAutospacing="1"/>
    </w:pPr>
  </w:style>
  <w:style w:type="paragraph" w:styleId="270">
    <w:name w:val="Plain Text"/>
    <w:basedOn w:val="186"/>
    <w:link w:val="271"/>
    <w:rPr>
      <w:rFonts w:ascii="Courier New" w:hAnsi="Courier New" w:cs="Courier New"/>
      <w:lang w:val="ru-RU"/>
    </w:rPr>
  </w:style>
  <w:style w:type="character" w:styleId="271" w:customStyle="1">
    <w:name w:val="Текст Знак"/>
    <w:link w:val="270"/>
    <w:rPr>
      <w:rFonts w:ascii="Courier New" w:hAnsi="Courier New" w:cs="Courier New"/>
      <w:sz w:val="20"/>
      <w:szCs w:val="20"/>
      <w:lang w:val="ru-RU" w:eastAsia="ru-RU"/>
    </w:rPr>
  </w:style>
  <w:style w:type="character" w:styleId="272" w:customStyle="1">
    <w:name w:val="rvts0"/>
    <w:rPr>
      <w:rFonts w:cs="Times New Roman"/>
    </w:rPr>
  </w:style>
  <w:style w:type="paragraph" w:styleId="273" w:customStyle="1">
    <w:name w:val="Без интервала1"/>
    <w:rPr>
      <w:rFonts w:cs="Times New Roman"/>
      <w:sz w:val="22"/>
      <w:lang w:val="ru-RU" w:eastAsia="en-US"/>
    </w:rPr>
  </w:style>
  <w:style w:type="character" w:styleId="274" w:customStyle="1">
    <w:name w:val="Стиль2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