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19049" t="0" r="9524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 району 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pStyle w:val="179"/>
        <w:jc w:val="center"/>
        <w:spacing w:after="0" w:afterAutospacing="0" w:before="0" w:beforeAutospacing="0"/>
        <w:widowControl w:val="o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(тридцять шоста сесія сьомого скликання)</w:t>
      </w:r>
      <w:r/>
    </w:p>
    <w:p>
      <w:pPr>
        <w:pStyle w:val="178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ПРОЄКТ</w:t>
      </w:r>
      <w:r>
        <w:rPr>
          <w:b/>
          <w:bCs/>
          <w:color w:val="000000"/>
          <w:sz w:val="28"/>
          <w:szCs w:val="28"/>
        </w:rPr>
        <w:t xml:space="preserve"> РІШЕННЯ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грудня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2019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                              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№</w:t>
      </w:r>
      <w:r/>
    </w:p>
    <w:p>
      <w:pPr>
        <w:ind w:right="4535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0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затвердження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організації харчування дітей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в закладах дошкільної освіти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на 2020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-2022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к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и</w:t>
      </w:r>
      <w:r/>
    </w:p>
    <w:p>
      <w:pPr>
        <w:ind w:right="4675"/>
        <w:jc w:val="both"/>
        <w:spacing w:lineRule="auto" w:line="240" w:after="0"/>
        <w:tabs>
          <w:tab w:val="left" w:pos="4680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83"/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Відповідно до Законів України «Про освіту», «Про дошкільну освіту», «Про охорону дитинства»,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державну соціальну допомогу малозабезпеченим сім’ям»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«Про особливості державної політики із забезпечення державного суверенітету України над тимчасово окупованими територіями в Донецькій та Луганській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областях»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Batang"/>
          <w:sz w:val="28"/>
          <w:szCs w:val="28"/>
          <w:shd w:val="clear" w:color="auto" w:fill="FFFFFF"/>
          <w:lang w:eastAsia="ru-RU"/>
        </w:rPr>
        <w:t xml:space="preserve">«Про внесення змін до деяких законодавчих актів України»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Постанов Кабінету Міністрів України від 02.02.2011 № 116 «Про затвердження Порядку надання послуг з харчування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6 року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№16 «Про внесення змін до Порядку надання послуг з харчування дітей у дошкільних, учнів у </w:t>
      </w:r>
      <w:r>
        <w:rPr>
          <w:rFonts w:ascii="Times New Roman" w:hAnsi="Times New Roman" w:cs="Times New Roman" w:eastAsia="Batang"/>
          <w:spacing w:val="0"/>
          <w:sz w:val="28"/>
          <w:szCs w:val="28"/>
          <w:lang w:eastAsia="ru-RU"/>
        </w:rPr>
        <w:t xml:space="preserve">загальноосвітніх та професійно-технічних закладах, операції з надання</w:t>
      </w:r>
      <w:r>
        <w:rPr>
          <w:rFonts w:ascii="Times New Roman" w:hAnsi="Times New Roman" w:eastAsia="Batang"/>
          <w:spacing w:val="0"/>
          <w:sz w:val="28"/>
          <w:szCs w:val="28"/>
          <w:lang w:eastAsia="ru-RU"/>
        </w:rPr>
        <w:t xml:space="preserve"> яких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звільняються від обкладення податком на додану вартість», від 22.11.2004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№ 1591 «Про затвердження норм харчування у навчальних та оздоровчих закладах», </w:t>
      </w:r>
      <w:r>
        <w:rPr>
          <w:rFonts w:ascii="Times New Roman" w:hAnsi="Times New Roman"/>
          <w:sz w:val="28"/>
          <w:szCs w:val="28"/>
        </w:rPr>
        <w:t xml:space="preserve">відповідно до рішення двадцятої сесії сьомого скликання від 12 вересня 2018 року № 317 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</w:t>
      </w:r>
      <w:r>
        <w:rPr>
          <w:rFonts w:ascii="Times New Roman" w:hAnsi="Times New Roman"/>
          <w:sz w:val="28"/>
          <w:szCs w:val="28"/>
        </w:rPr>
        <w:t xml:space="preserve">ації харчування учнів 1-11 класів закладів загальної середньої освіти у 2018 році»» </w:t>
      </w:r>
      <w:r>
        <w:rPr>
          <w:rFonts w:ascii="Times New Roman" w:hAnsi="Times New Roman" w:eastAsia="Batang"/>
          <w:sz w:val="28"/>
          <w:szCs w:val="28"/>
          <w:shd w:val="clear" w:color="auto" w:fill="FFFFFF"/>
          <w:lang w:eastAsia="ru-RU"/>
        </w:rPr>
        <w:t xml:space="preserve">та з метою збереження</w:t>
      </w:r>
      <w:r>
        <w:rPr>
          <w:rFonts w:ascii="Times New Roman" w:hAnsi="Times New Roman" w:eastAsia="Batang"/>
          <w:sz w:val="28"/>
          <w:szCs w:val="28"/>
          <w:shd w:val="clear" w:color="auto" w:fill="FFFFFF"/>
          <w:lang w:eastAsia="ru-RU"/>
        </w:rPr>
        <w:t xml:space="preserve"> </w:t>
      </w:r>
      <w:r>
        <w:rPr>
          <w:rFonts w:ascii="Times New Roman" w:hAnsi="Times New Roman" w:eastAsia="Batang"/>
          <w:sz w:val="28"/>
          <w:szCs w:val="28"/>
          <w:shd w:val="clear" w:color="auto" w:fill="FFFFFF"/>
          <w:lang w:eastAsia="ru-RU"/>
        </w:rPr>
        <w:t xml:space="preserve"> здоров’я дітей та забезпечення повноцінного і раціонального харчування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керуючись пп.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22 п.1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ст.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26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Менськ</w:t>
      </w:r>
      <w:r>
        <w:rPr>
          <w:rFonts w:ascii="Times New Roman" w:hAnsi="Times New Roman"/>
          <w:sz w:val="28"/>
          <w:szCs w:val="28"/>
        </w:rPr>
        <w:t xml:space="preserve">а міська  рада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ВИРІШИЛА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Програму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організації харчування дітей в закладах дошкільної освіти Менської міської ради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 2020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-2022 ро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згідно додатку до даного рішення, що додається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Відділу освіти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забезпечити організоване виконання заходів Програми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Вишняк Т.С., заступника голови з питань діяльності виконавчого комітету Менської міської ради.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А.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Примаков </w:t>
      </w:r>
      <w:r/>
    </w:p>
    <w:p>
      <w:pPr>
        <w:ind w:left="5387"/>
        <w:spacing w:lineRule="auto" w:line="240" w:after="0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Batang"/>
          <w:bCs/>
          <w:iCs/>
          <w:szCs w:val="28"/>
          <w:lang w:eastAsia="ru-RU"/>
        </w:rPr>
        <w:br w:type="page"/>
      </w:r>
      <w:r>
        <w:rPr>
          <w:rFonts w:ascii="Times New Roman" w:hAnsi="Times New Roman" w:eastAsia="Times New Roman"/>
          <w:bCs/>
          <w:iCs/>
          <w:sz w:val="24"/>
          <w:szCs w:val="28"/>
          <w:lang w:eastAsia="ru-RU"/>
        </w:rPr>
        <w:t xml:space="preserve">Додаток до </w:t>
      </w:r>
      <w:r>
        <w:rPr>
          <w:rFonts w:ascii="Times New Roman" w:hAnsi="Times New Roman" w:eastAsia="Times New Roman"/>
          <w:bCs/>
          <w:iCs/>
          <w:sz w:val="24"/>
          <w:szCs w:val="28"/>
          <w:lang w:eastAsia="ru-RU"/>
        </w:rPr>
        <w:t xml:space="preserve">проекту </w:t>
      </w:r>
      <w:r>
        <w:rPr>
          <w:rFonts w:ascii="Times New Roman" w:hAnsi="Times New Roman" w:eastAsia="Times New Roman"/>
          <w:bCs/>
          <w:iCs/>
          <w:sz w:val="24"/>
          <w:szCs w:val="28"/>
          <w:lang w:eastAsia="ru-RU"/>
        </w:rPr>
        <w:t xml:space="preserve">рішення </w:t>
      </w:r>
      <w:r>
        <w:rPr>
          <w:rFonts w:ascii="Times New Roman" w:hAnsi="Times New Roman"/>
          <w:color w:val="000000"/>
        </w:rPr>
        <w:t xml:space="preserve">36 сесії </w:t>
      </w:r>
      <w:r>
        <w:rPr>
          <w:rFonts w:ascii="Times New Roman" w:hAnsi="Times New Roman"/>
          <w:color w:val="000000"/>
        </w:rPr>
        <w:t xml:space="preserve">Менської міської ради</w:t>
      </w:r>
      <w:r>
        <w:rPr>
          <w:rFonts w:ascii="Times New Roman" w:hAnsi="Times New Roman"/>
          <w:color w:val="000000"/>
        </w:rPr>
        <w:t xml:space="preserve"> 7 скликання  від 2</w:t>
      </w:r>
      <w:r>
        <w:rPr>
          <w:rFonts w:ascii="Times New Roman" w:hAnsi="Times New Roman"/>
          <w:color w:val="000000"/>
        </w:rPr>
        <w:t xml:space="preserve">4</w:t>
      </w:r>
      <w:r>
        <w:rPr>
          <w:rFonts w:ascii="Times New Roman" w:hAnsi="Times New Roman"/>
          <w:color w:val="000000"/>
        </w:rPr>
        <w:t xml:space="preserve">.1</w:t>
      </w:r>
      <w:r>
        <w:rPr>
          <w:rFonts w:ascii="Times New Roman" w:hAnsi="Times New Roman"/>
          <w:color w:val="000000"/>
        </w:rPr>
        <w:t xml:space="preserve">2</w:t>
      </w:r>
      <w:r>
        <w:rPr>
          <w:rFonts w:ascii="Times New Roman" w:hAnsi="Times New Roman"/>
          <w:color w:val="000000"/>
        </w:rPr>
        <w:t xml:space="preserve">.2019 №____ </w:t>
      </w:r>
      <w:r>
        <w:rPr>
          <w:rFonts w:ascii="Times New Roman" w:hAnsi="Times New Roman" w:eastAsia="Times New Roman"/>
          <w:bCs/>
          <w:iCs/>
          <w:sz w:val="24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затвердження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Програми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організації харчування в закладах дошкільної освіти Менської міської ради на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2020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-2022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рік»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</w:pP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ПРОГРАМА 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</w:pP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організації харчув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ання дітей у </w:t>
      </w:r>
      <w:r/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заклад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ах дошкільної освіти </w:t>
      </w:r>
      <w:r/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Менської міської ради 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на 20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20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-2022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 р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о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к</w:t>
      </w: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и</w:t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2019</w:t>
      </w:r>
      <w:r/>
    </w:p>
    <w:p>
      <w:pPr>
        <w:shd w:val="nil" w:color="auto" w:fill="FFFFFF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І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. ПАСПОРТ ПРОГРАМИ</w:t>
      </w:r>
      <w:r/>
    </w:p>
    <w:tbl>
      <w:tblPr>
        <w:tblW w:w="9904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556"/>
        <w:gridCol w:w="1882"/>
        <w:gridCol w:w="1883"/>
        <w:gridCol w:w="1883"/>
      </w:tblGrid>
      <w:tr>
        <w:trPr>
          <w:jc w:val="center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програми</w:t>
            </w:r>
            <w:r/>
          </w:p>
        </w:tc>
        <w:tc>
          <w:tcPr>
            <w:gridSpan w:val="3"/>
            <w:tcW w:w="564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організації харчування у закладах дошкільної осві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 Менської міської ради на 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-2022 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</w:t>
            </w:r>
            <w:r/>
          </w:p>
        </w:tc>
      </w:tr>
      <w:tr>
        <w:trPr>
          <w:jc w:val="center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/>
          </w:p>
        </w:tc>
        <w:tc>
          <w:tcPr>
            <w:gridSpan w:val="3"/>
            <w:tcW w:w="564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Дата, номер і назва документа органу виконавчої влади про розроблення програми</w:t>
            </w:r>
            <w:r/>
          </w:p>
        </w:tc>
        <w:tc>
          <w:tcPr>
            <w:gridSpan w:val="3"/>
            <w:tcW w:w="5648" w:type="dxa"/>
            <w:textDirection w:val="lrTb"/>
            <w:noWrap w:val="false"/>
          </w:tcPr>
          <w:p>
            <w:pPr>
              <w:ind w:firstLine="24"/>
              <w:jc w:val="both"/>
              <w:spacing w:lineRule="auto" w:line="240" w:after="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Закони України «Про освіту», «Про дошкільну освіту», «Про охорону дитинства»,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державну соціальну допомогу малозабезпеченим сім’ям»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областях», 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«Про місцеве самоврядування в Україні,</w:t>
            </w:r>
            <w:r>
              <w:rPr>
                <w:rFonts w:ascii="Times New Roman" w:hAnsi="Times New Roman" w:eastAsia="Batang"/>
                <w:sz w:val="28"/>
                <w:szCs w:val="28"/>
                <w:shd w:val="clear" w:color="auto" w:fill="FFFFFF"/>
                <w:lang w:eastAsia="ru-RU"/>
              </w:rPr>
              <w:t xml:space="preserve"> «Про внесення змін до деяких законодавчих актів України».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 постанов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а додану вартість», від 22.11.2004 № 1591 «Про затвердження норм харчування у навчальних та оздоровчих закладах», від 18.01.2016 р. №16 «Про внесення змін до Порядку надання послуг з харчування дітей у дошкільних, учнів у </w:t>
            </w:r>
            <w:r>
              <w:rPr>
                <w:rFonts w:ascii="Times New Roman" w:hAnsi="Times New Roman" w:eastAsia="Batang"/>
                <w:spacing w:val="0"/>
                <w:sz w:val="28"/>
                <w:szCs w:val="28"/>
                <w:lang w:eastAsia="ru-RU"/>
              </w:rPr>
              <w:t xml:space="preserve">загальноосвітніх та професійно-технічних закладах, операції з надання яких 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звільняються від обкладення податком на додану вартість»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рішення двадцятої сесії сьомого скликання від 12 вересня 2018 року № 317 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я учнів 1-11 класів закладів загальної середньої освіти у 2018 році»»</w:t>
            </w:r>
            <w:r/>
          </w:p>
        </w:tc>
      </w:tr>
      <w:tr>
        <w:trPr>
          <w:jc w:val="center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gridSpan w:val="3"/>
            <w:tcW w:w="56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Менської міської ради </w:t>
            </w:r>
            <w:r/>
          </w:p>
        </w:tc>
      </w:tr>
      <w:tr>
        <w:trPr>
          <w:jc w:val="center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gridSpan w:val="3"/>
            <w:tcW w:w="56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  <w:trHeight w:val="274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Учасники програми</w:t>
            </w:r>
            <w:r/>
          </w:p>
        </w:tc>
        <w:tc>
          <w:tcPr>
            <w:gridSpan w:val="3"/>
            <w:tcW w:w="5648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діл освіти Менської міської ради,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заклади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дошкільної освіти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фінансове управління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Менської міської ради </w:t>
            </w:r>
            <w:r/>
          </w:p>
        </w:tc>
      </w:tr>
      <w:tr>
        <w:trPr>
          <w:jc w:val="center"/>
          <w:trHeight w:val="842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Дія Програми</w:t>
            </w:r>
            <w:r/>
          </w:p>
        </w:tc>
        <w:tc>
          <w:tcPr>
            <w:gridSpan w:val="3"/>
            <w:tcW w:w="5648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Дія програми поширюється на територію населених пунктів, які увійшли до складу Менської об’єднаної територіальної громади</w:t>
            </w:r>
            <w:r/>
          </w:p>
        </w:tc>
      </w:tr>
      <w:tr>
        <w:trPr>
          <w:jc w:val="center"/>
          <w:trHeight w:val="379"/>
        </w:trPr>
        <w:tc>
          <w:tcPr>
            <w:tcW w:w="7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355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Термін реалізації Програми</w:t>
            </w:r>
            <w:r/>
          </w:p>
        </w:tc>
        <w:tc>
          <w:tcPr>
            <w:gridSpan w:val="3"/>
            <w:tcW w:w="56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</w:t>
            </w:r>
            <w:bookmarkStart w:id="1" w:name="_GoBack"/>
            <w:r/>
            <w:bookmarkEnd w:id="1"/>
            <w:r/>
            <w:r/>
          </w:p>
        </w:tc>
      </w:tr>
      <w:tr>
        <w:trPr>
          <w:jc w:val="center"/>
        </w:trPr>
        <w:tc>
          <w:tcPr>
            <w:tcW w:w="70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8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рік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рік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188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рік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</w:tr>
      <w:tr>
        <w:trPr>
          <w:jc w:val="center"/>
          <w:trHeight w:val="1615"/>
        </w:trPr>
        <w:tc>
          <w:tcPr>
            <w:tcW w:w="70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355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програми, всього: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тому числі:</w:t>
            </w:r>
            <w:r/>
          </w:p>
        </w:tc>
        <w:tc>
          <w:tcPr>
            <w:tcW w:w="188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2950 000,00</w:t>
            </w:r>
            <w:r/>
          </w:p>
        </w:tc>
        <w:tc>
          <w:tcPr>
            <w:tcW w:w="18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 395 000,00</w:t>
            </w:r>
            <w:r/>
          </w:p>
        </w:tc>
        <w:tc>
          <w:tcPr>
            <w:tcW w:w="18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 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80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 00</w:t>
            </w:r>
            <w:r/>
          </w:p>
        </w:tc>
      </w:tr>
      <w:tr>
        <w:trPr>
          <w:jc w:val="center"/>
          <w:trHeight w:val="655"/>
        </w:trPr>
        <w:tc>
          <w:tcPr>
            <w:tcW w:w="70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.1.</w:t>
            </w:r>
            <w:r/>
          </w:p>
        </w:tc>
        <w:tc>
          <w:tcPr>
            <w:tcW w:w="355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бюджету міської ОТГ</w:t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2 330 500,00</w:t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2 783 900,00</w:t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3 298 000,00</w:t>
            </w:r>
            <w:r/>
          </w:p>
        </w:tc>
      </w:tr>
      <w:tr>
        <w:trPr>
          <w:jc w:val="center"/>
          <w:trHeight w:val="2590"/>
        </w:trPr>
        <w:tc>
          <w:tcPr>
            <w:tcW w:w="70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.2.</w:t>
            </w:r>
            <w:r/>
          </w:p>
        </w:tc>
        <w:tc>
          <w:tcPr>
            <w:tcW w:w="355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</w:t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619 500,00</w:t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611 100,00 </w:t>
            </w:r>
            <w:r/>
          </w:p>
        </w:tc>
        <w:tc>
          <w:tcPr>
            <w:tcW w:w="188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582 000,00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182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  <w:t xml:space="preserve">*У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разі сплати за харчування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коштами спеціального фонду (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батьківськими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коштами)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8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грн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в день на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одну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дитину. Вартість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дітодня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в 2020 році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–30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грн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в день, 2021 році – 35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грн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в день, 2022 році – 40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грн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в день.</w:t>
      </w:r>
      <w:r/>
    </w:p>
    <w:p>
      <w:pPr>
        <w:pStyle w:val="182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tbl>
      <w:tblPr>
        <w:tblW w:w="5147" w:type="pct"/>
        <w:tblCellSpacing w:w="0" w:type="dxa"/>
        <w:tblInd w:w="-1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7"/>
      </w:tblGrid>
      <w:tr>
        <w:trPr>
          <w:tblCellSpacing w:w="0" w:type="dxa"/>
        </w:trPr>
        <w:tc>
          <w:tcPr>
            <w:tcW w:w="5000" w:type="pct"/>
            <w:textDirection w:val="lrTb"/>
            <w:noWrap w:val="false"/>
          </w:tcPr>
          <w:tbl>
            <w:tblPr>
              <w:tblW w:w="10207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7"/>
            </w:tblGrid>
            <w:tr>
              <w:trPr>
                <w:tblCellSpacing w:w="0" w:type="dxa"/>
              </w:trPr>
              <w:tc>
                <w:tcPr>
                  <w:tcW w:w="5000" w:type="pct"/>
                  <w:textDirection w:val="lrTb"/>
                  <w:noWrap w:val="false"/>
                </w:tcPr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І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І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. Загальні положення</w:t>
                  </w:r>
                  <w:r/>
                </w:p>
                <w:p>
                  <w:pPr>
                    <w:pStyle w:val="178"/>
                    <w:ind w:firstLine="568"/>
                    <w:jc w:val="both"/>
                    <w:spacing w:after="0" w:afterAutospacing="0" w:before="0" w:beforeAutospacing="0"/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BatangChe"/>
                      <w:sz w:val="28"/>
                      <w:szCs w:val="28"/>
                    </w:rPr>
                    <w:t xml:space="preserve">Дитячий організм відрізняється від дорослого швидким розвитком, формуванням і становленням структури багатьох органів і систем. Раціональний режим харчування, його збалансованість раціону є основними умовами для підвищення опору дитячого організму до захвор</w:t>
                  </w:r>
                  <w:r>
                    <w:rPr>
                      <w:rFonts w:eastAsia="BatangChe"/>
                      <w:sz w:val="28"/>
                      <w:szCs w:val="28"/>
                    </w:rPr>
                    <w:t xml:space="preserve">ювань, для нормального росту і розвитку дітей, які виховуються в </w:t>
                  </w:r>
                  <w:r>
                    <w:rPr>
                      <w:rFonts w:eastAsia="BatangChe"/>
                      <w:sz w:val="28"/>
                      <w:szCs w:val="28"/>
                    </w:rPr>
                    <w:t xml:space="preserve">закладі дошкільної освіти</w:t>
                  </w:r>
                  <w:r>
                    <w:rPr>
                      <w:rFonts w:eastAsia="BatangChe"/>
                      <w:sz w:val="28"/>
                      <w:szCs w:val="28"/>
                    </w:rPr>
                    <w:t xml:space="preserve">.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Здорове харчування має великий вплив на фізичний і розумовий розвиток дитини, її імунітет і працездатність.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Харчування дітей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закладів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дошкільної освіти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здійснюється за місцем навчання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в</w:t>
                  </w:r>
                  <w:r>
                    <w:rPr>
                      <w:rFonts w:eastAsia="Batang"/>
                      <w:sz w:val="28"/>
                      <w:szCs w:val="28"/>
                      <w:lang w:eastAsia="ru-RU"/>
                    </w:rPr>
                    <w:t xml:space="preserve">ідповідно до </w:t>
                  </w:r>
                  <w:r>
                    <w:rPr>
                      <w:rFonts w:eastAsia="Batang"/>
                      <w:sz w:val="28"/>
                      <w:szCs w:val="28"/>
                      <w:lang w:eastAsia="ru-RU"/>
                    </w:rPr>
                    <w:t xml:space="preserve">вимог </w:t>
                  </w:r>
                  <w:r>
                    <w:rPr>
                      <w:rFonts w:eastAsia="Batang"/>
                      <w:sz w:val="28"/>
                      <w:szCs w:val="28"/>
                      <w:lang w:eastAsia="ru-RU"/>
                    </w:rPr>
                    <w:t xml:space="preserve">Законів України «Про освіту», «Про дошкільну освіту»,  «Про охорону дитинства</w:t>
                  </w:r>
                  <w:r>
                    <w:rPr>
                      <w:rFonts w:eastAsia="Batang"/>
                      <w:sz w:val="28"/>
                      <w:szCs w:val="28"/>
                      <w:lang w:eastAsia="ru-RU"/>
                    </w:rPr>
                    <w:t xml:space="preserve">» та інших нормативно-правових актів</w:t>
                  </w:r>
                  <w:r>
                    <w:rPr>
                      <w:rFonts w:eastAsia="Batang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</w:t>
                  </w:r>
                  <w:r>
                    <w:rPr>
                      <w:rFonts w:eastAsia="Batang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Заклади дошкільної освіти Менської міської ради повинні 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ада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вати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повноцінне, збалансоване і здорове харчування, що відповідає вимогам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усіх нормативно правових актів, з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абезпечу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вати таким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меню, що складається з урахуванням рекомендованих груп продуктів харчування і рекомендованих для дитини добових норм поживних речовин і енергії.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Усі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продукти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харчування, які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потрапляють до закладів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дошкільної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освіти, повинні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відповідати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умовам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державних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стандартів та супроводжуватись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документацією (накладні, сертифікати) з висновками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щодо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їх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якості, терміну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реалізації, кількості.</w:t>
                  </w:r>
                  <w:r/>
                </w:p>
                <w:p>
                  <w:pPr>
                    <w:pStyle w:val="178"/>
                    <w:ind w:firstLine="568"/>
                    <w:jc w:val="both"/>
                    <w:spacing w:after="0" w:afterAutospacing="0" w:before="0" w:beforeAutospacing="0"/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увага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організації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харчування в дитячих садках приділяється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безпеці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їжі: екологічності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продуктів, безпечному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технологічному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процесу, належній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подачі страви.</w:t>
                  </w:r>
                  <w:r/>
                </w:p>
                <w:p>
                  <w:pPr>
                    <w:ind w:firstLine="568"/>
                    <w:jc w:val="both"/>
                    <w:spacing w:lineRule="auto" w:line="24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2019 рік рішенням двадцять четвертої сесії сьомого скликан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ня від 17 грудня 2018 року № 479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«Про затвердження Програми організації харчування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дітей в закладах дошкільної освіти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Менської міської ради на 2019 рік» було затверджено відповідну Програму.</w:t>
                  </w:r>
                  <w:r/>
                </w:p>
                <w:p>
                  <w:pPr>
                    <w:pStyle w:val="179"/>
                    <w:ind w:firstLine="567"/>
                    <w:jc w:val="both"/>
                    <w:spacing w:after="0" w:afterAutospacing="0" w:before="0" w:beforeAutospacing="0"/>
                    <w:rPr>
                      <w:rStyle w:val="188"/>
                      <w:sz w:val="28"/>
                      <w:szCs w:val="28"/>
                    </w:rPr>
                  </w:pPr>
                  <w:r>
                    <w:rPr>
                      <w:rStyle w:val="188"/>
                      <w:b/>
                      <w:sz w:val="28"/>
                      <w:szCs w:val="28"/>
                    </w:rPr>
                    <w:t xml:space="preserve">Б</w:t>
                  </w:r>
                  <w:r>
                    <w:rPr>
                      <w:rStyle w:val="188"/>
                      <w:b/>
                      <w:sz w:val="28"/>
                      <w:szCs w:val="28"/>
                    </w:rPr>
                    <w:t xml:space="preserve">езкоштовним харчуванням</w:t>
                  </w:r>
                  <w:r>
                    <w:rPr>
                      <w:rStyle w:val="188"/>
                      <w:sz w:val="28"/>
                      <w:szCs w:val="28"/>
                    </w:rPr>
                    <w:t xml:space="preserve"> у закладах дошкільної</w:t>
                  </w:r>
                  <w:r>
                    <w:rPr>
                      <w:rStyle w:val="188"/>
                      <w:sz w:val="28"/>
                      <w:szCs w:val="28"/>
                    </w:rPr>
                    <w:t xml:space="preserve"> освіти Менської міської ради забезпечувалися:</w:t>
                  </w:r>
                  <w:r/>
                </w:p>
                <w:p>
                  <w:pPr>
                    <w:numPr>
                      <w:ilvl w:val="0"/>
                      <w:numId w:val="6"/>
                    </w:numPr>
                    <w:ind w:left="0" w:hanging="0"/>
                    <w:jc w:val="both"/>
                    <w:spacing w:lineRule="auto" w:line="240" w:after="0"/>
                    <w:tabs>
                      <w:tab w:val="left" w:pos="426" w:leader="none"/>
                    </w:tabs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діти–сироти та діти, позбавлені батьківського піклування;</w:t>
                  </w:r>
                  <w:r/>
                </w:p>
                <w:p>
                  <w:pPr>
                    <w:numPr>
                      <w:ilvl w:val="0"/>
                      <w:numId w:val="6"/>
                    </w:numPr>
                    <w:ind w:left="0" w:hanging="0"/>
                    <w:jc w:val="both"/>
                    <w:spacing w:lineRule="auto" w:line="240" w:after="0"/>
                    <w:tabs>
                      <w:tab w:val="left" w:pos="426" w:leader="none"/>
                    </w:tabs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діти з малозабезпечених сімей;</w:t>
                  </w:r>
                  <w:r/>
                </w:p>
                <w:p>
                  <w:pPr>
                    <w:numPr>
                      <w:ilvl w:val="0"/>
                      <w:numId w:val="6"/>
                    </w:numPr>
                    <w:ind w:left="0" w:hanging="0"/>
                    <w:jc w:val="both"/>
                    <w:spacing w:lineRule="auto" w:line="240" w:after="0"/>
                    <w:tabs>
                      <w:tab w:val="left" w:pos="426" w:leader="none"/>
                    </w:tabs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діти учасників бойових дій – АТО та ООС;</w:t>
                  </w:r>
                  <w:r/>
                </w:p>
                <w:p>
                  <w:pPr>
                    <w:numPr>
                      <w:ilvl w:val="0"/>
                      <w:numId w:val="6"/>
                    </w:numPr>
                    <w:ind w:left="0" w:hanging="0"/>
                    <w:jc w:val="both"/>
                    <w:spacing w:lineRule="auto" w:line="240" w:after="0"/>
                    <w:tabs>
                      <w:tab w:val="left" w:pos="426" w:leader="none"/>
                    </w:tabs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дітей, батьки яких загинули під час виконання службових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обов</w:t>
                  </w:r>
                  <w:r>
                    <w:rPr>
                      <w:rFonts w:ascii="Symbol" w:hAnsi="Symbol" w:cs="Symbol" w:eastAsia="Symbol"/>
                      <w:sz w:val="28"/>
                      <w:szCs w:val="28"/>
                      <w:lang w:eastAsia="uk-UA"/>
                    </w:rPr>
                    <w:t xml:space="preserve">¢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язків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в зоні АТО та ООС;</w:t>
                  </w:r>
                  <w:r/>
                </w:p>
                <w:p>
                  <w:pPr>
                    <w:numPr>
                      <w:ilvl w:val="0"/>
                      <w:numId w:val="6"/>
                    </w:numPr>
                    <w:ind w:left="0" w:hanging="0"/>
                    <w:jc w:val="both"/>
                    <w:spacing w:lineRule="auto" w:line="240" w:after="0"/>
                    <w:tabs>
                      <w:tab w:val="left" w:pos="426" w:leader="none"/>
                    </w:tabs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діти з особливими освітніми потребами, які навчаються в спеціальних і інклюзивних класах; </w:t>
                  </w:r>
                  <w:r/>
                </w:p>
                <w:p>
                  <w:pPr>
                    <w:numPr>
                      <w:ilvl w:val="0"/>
                      <w:numId w:val="6"/>
                    </w:numPr>
                    <w:ind w:left="0" w:hanging="0"/>
                    <w:jc w:val="both"/>
                    <w:spacing w:lineRule="auto" w:line="240" w:after="0"/>
                    <w:tabs>
                      <w:tab w:val="left" w:pos="426" w:leader="none"/>
                    </w:tabs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діти з інвалідністю;</w:t>
                  </w:r>
                  <w:r/>
                </w:p>
                <w:p>
                  <w:pPr>
                    <w:numPr>
                      <w:ilvl w:val="0"/>
                      <w:numId w:val="6"/>
                    </w:numPr>
                    <w:ind w:left="0" w:hanging="0"/>
                    <w:jc w:val="both"/>
                    <w:spacing w:lineRule="auto" w:line="240" w:after="0"/>
                    <w:tabs>
                      <w:tab w:val="left" w:pos="426" w:leader="none"/>
                    </w:tabs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діти постраждалі внаслідок аварії на ЧАЕС; </w:t>
                  </w:r>
                  <w:r/>
                </w:p>
                <w:p>
                  <w:pPr>
                    <w:numPr>
                      <w:ilvl w:val="0"/>
                      <w:numId w:val="6"/>
                    </w:numPr>
                    <w:ind w:left="0" w:hanging="0"/>
                    <w:jc w:val="both"/>
                    <w:spacing w:lineRule="auto" w:line="240" w:after="0"/>
                    <w:tabs>
                      <w:tab w:val="left" w:pos="426" w:leader="none"/>
                      <w:tab w:val="left" w:pos="851" w:leader="none"/>
                    </w:tabs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у виняткових випадках (в разі, якщо сім</w:t>
                  </w:r>
                  <w:r>
                    <w:rPr>
                      <w:rFonts w:ascii="Symbol" w:hAnsi="Symbol" w:cs="Symbol" w:eastAsia="Symbol"/>
                      <w:sz w:val="28"/>
                      <w:szCs w:val="28"/>
                      <w:lang w:eastAsia="uk-UA"/>
                    </w:rPr>
                    <w:t xml:space="preserve">¢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та за пропозицією відділу освіти Менської міської ради)).</w:t>
                  </w:r>
                  <w:r/>
                </w:p>
                <w:p>
                  <w:pPr>
                    <w:jc w:val="both"/>
                    <w:spacing w:lineRule="auto" w:line="240" w:after="0"/>
                    <w:tabs>
                      <w:tab w:val="left" w:pos="426" w:leader="none"/>
                      <w:tab w:val="left" w:pos="851" w:leader="none"/>
                    </w:tabs>
                    <w:rPr>
                      <w:rStyle w:val="189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189"/>
                      <w:rFonts w:ascii="Times New Roman" w:hAnsi="Times New Roman"/>
                      <w:sz w:val="28"/>
                      <w:szCs w:val="28"/>
                    </w:rPr>
                    <w:tab/>
                    <w:t xml:space="preserve">Гарячим харчуванням, з </w:t>
                  </w:r>
                  <w:r>
                    <w:rPr>
                      <w:rStyle w:val="189"/>
                      <w:rFonts w:ascii="Times New Roman" w:hAnsi="Times New Roman"/>
                      <w:b/>
                      <w:sz w:val="28"/>
                      <w:szCs w:val="28"/>
                    </w:rPr>
                    <w:t xml:space="preserve">оплатою у розмірі 50% від вартості харчування</w:t>
                  </w:r>
                  <w:r>
                    <w:rPr>
                      <w:rStyle w:val="189"/>
                      <w:rFonts w:ascii="Times New Roman" w:hAnsi="Times New Roman"/>
                      <w:sz w:val="28"/>
                      <w:szCs w:val="28"/>
                    </w:rPr>
                    <w:t xml:space="preserve">, забезпечувалися</w:t>
                  </w:r>
                  <w:r>
                    <w:rPr>
                      <w:rStyle w:val="189"/>
                      <w:rFonts w:ascii="Times New Roman" w:hAnsi="Times New Roman"/>
                      <w:sz w:val="28"/>
                      <w:szCs w:val="28"/>
                    </w:rPr>
                    <w:t xml:space="preserve"> діти з багатодітних сімей, що виховуються</w:t>
                  </w:r>
                  <w:r>
                    <w:rPr>
                      <w:rStyle w:val="189"/>
                      <w:rFonts w:ascii="Times New Roman" w:hAnsi="Times New Roman"/>
                      <w:sz w:val="28"/>
                      <w:szCs w:val="28"/>
                    </w:rPr>
                    <w:t xml:space="preserve"> в закладах </w:t>
                  </w:r>
                  <w:r>
                    <w:rPr>
                      <w:rStyle w:val="189"/>
                      <w:rFonts w:ascii="Times New Roman" w:hAnsi="Times New Roman"/>
                      <w:sz w:val="28"/>
                      <w:szCs w:val="28"/>
                    </w:rPr>
                    <w:t xml:space="preserve">дошкільної </w:t>
                  </w:r>
                  <w:r>
                    <w:rPr>
                      <w:rStyle w:val="189"/>
                      <w:rFonts w:ascii="Times New Roman" w:hAnsi="Times New Roman"/>
                      <w:sz w:val="28"/>
                      <w:szCs w:val="28"/>
                    </w:rPr>
                    <w:t xml:space="preserve">освіти Менської міської ради.</w:t>
                  </w:r>
                  <w:r/>
                </w:p>
                <w:p>
                  <w:pPr>
                    <w:jc w:val="both"/>
                    <w:spacing w:lineRule="auto" w:line="240" w:after="0"/>
                    <w:tabs>
                      <w:tab w:val="left" w:pos="426" w:leader="none"/>
                      <w:tab w:val="left" w:pos="851" w:leader="none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190"/>
                      <w:rFonts w:ascii="Times New Roman" w:hAnsi="Times New Roman"/>
                      <w:sz w:val="28"/>
                      <w:szCs w:val="28"/>
                    </w:rPr>
                    <w:tab/>
                    <w:t xml:space="preserve">Вартість харчування однієї дитини</w:t>
                  </w:r>
                  <w:r>
                    <w:rPr>
                      <w:rStyle w:val="190"/>
                      <w:rFonts w:ascii="Times New Roman" w:hAnsi="Times New Roman"/>
                      <w:sz w:val="28"/>
                      <w:szCs w:val="28"/>
                    </w:rPr>
                    <w:t xml:space="preserve"> в день в закладах </w:t>
                  </w:r>
                  <w:r>
                    <w:rPr>
                      <w:rStyle w:val="190"/>
                      <w:rFonts w:ascii="Times New Roman" w:hAnsi="Times New Roman"/>
                      <w:sz w:val="28"/>
                      <w:szCs w:val="28"/>
                    </w:rPr>
                    <w:t xml:space="preserve">дошкільної </w:t>
                  </w:r>
                  <w:r>
                    <w:rPr>
                      <w:rStyle w:val="190"/>
                      <w:rFonts w:ascii="Times New Roman" w:hAnsi="Times New Roman"/>
                      <w:sz w:val="28"/>
                      <w:szCs w:val="28"/>
                    </w:rPr>
                    <w:t xml:space="preserve">освіти  Менськ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ої міської ради   протягом 2019 року (без врахування літніх місяців) становила 25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день на одну дитину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(в тому числі батьківська плата за харчування дітей у закладах дошкільної освіти складає 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 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ідсотки від вартості харчування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відповідно 8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00 к в день на одну дитину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;</w:t>
                  </w:r>
                  <w:r/>
                </w:p>
                <w:p>
                  <w:pPr>
                    <w:pStyle w:val="182"/>
                    <w:ind w:left="0"/>
                    <w:jc w:val="both"/>
                    <w:spacing w:lineRule="auto" w:line="240" w:after="0"/>
                    <w:tabs>
                      <w:tab w:val="left" w:pos="851" w:leader="none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Під час літнього оздоро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вчого періоду  вартість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дітодня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становила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27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50 к на одну дитину (в тому числі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батьківська плата за харчування дітей у за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кладах дошкільної освіти складала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32 відсотки від вартості харчування – відповідно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8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80 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день на одну дитину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).</w:t>
                  </w:r>
                  <w:r/>
                </w:p>
                <w:p>
                  <w:pPr>
                    <w:jc w:val="both"/>
                    <w:spacing w:lineRule="auto" w:line="240" w:after="0"/>
                    <w:tabs>
                      <w:tab w:val="left" w:pos="426" w:leader="none"/>
                      <w:tab w:val="left" w:pos="851" w:leader="none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Станом на 01.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.2019 року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загальна кількість дітей, що відвідують заклади дошкільної освіти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становить 605 дітей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Серед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них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63дитини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пільгових категорій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забезпечувалися пільгою у розмірі 100%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від вартості харчування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59 дітей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забезпечувалися пільгою у розмірі 50 % від вартості харчування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діти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 багатодітних родин).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Середнє виконання норм харчування становить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%.</w:t>
                  </w:r>
                  <w:r/>
                </w:p>
                <w:p>
                  <w:pPr>
                    <w:ind w:firstLine="568"/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обрахуванн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розрахункових показників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коштів необхідних для реалізації даної Програми у 2020-2022 роках покладено наступні вимоги:</w:t>
                  </w:r>
                  <w:r/>
                </w:p>
                <w:p>
                  <w:pPr>
                    <w:pStyle w:val="182"/>
                    <w:numPr>
                      <w:ilvl w:val="0"/>
                      <w:numId w:val="4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орієнтовна кількість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дітей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, що харчуватимуться,</w:t>
                  </w:r>
                  <w:r/>
                </w:p>
                <w:p>
                  <w:pPr>
                    <w:pStyle w:val="182"/>
                    <w:numPr>
                      <w:ilvl w:val="0"/>
                      <w:numId w:val="4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орієнтовна кількість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дітей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, що користуватимуться пільгами на харчування </w:t>
                  </w:r>
                  <w:r/>
                </w:p>
                <w:p>
                  <w:pPr>
                    <w:pStyle w:val="182"/>
                    <w:ind w:left="928"/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(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батьки звільнені на 100% від плати за харчування),</w:t>
                  </w:r>
                  <w:r/>
                </w:p>
                <w:p>
                  <w:pPr>
                    <w:pStyle w:val="182"/>
                    <w:numPr>
                      <w:ilvl w:val="0"/>
                      <w:numId w:val="4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орієнтовна кількість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дітей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, що користуватимуться пільгами на харчування </w:t>
                  </w:r>
                  <w:r/>
                </w:p>
                <w:p>
                  <w:pPr>
                    <w:pStyle w:val="182"/>
                    <w:ind w:left="928"/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(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батьки звільнені на 50% від плати за харчування),</w:t>
                  </w:r>
                  <w:r/>
                </w:p>
                <w:p>
                  <w:pPr>
                    <w:pStyle w:val="182"/>
                    <w:numPr>
                      <w:ilvl w:val="0"/>
                      <w:numId w:val="4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орієнтовна кількість дітей, що  не користуватимуться пільгами на харчування (батьківська плата становить 100 % від вартості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дітодня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)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,</w:t>
                  </w:r>
                  <w:r/>
                </w:p>
                <w:p>
                  <w:pPr>
                    <w:pStyle w:val="182"/>
                    <w:numPr>
                      <w:ilvl w:val="0"/>
                      <w:numId w:val="4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вартість харчування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на одну дитину в день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з урахуванням підвищення цін на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продукти харчування (2020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рік-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30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грн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в день, 2021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рік-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35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грн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в день, 2022 рік – 40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грн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в день)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,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за умови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батьківської плати за харчування дитини у закладах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дошкільної освіти 8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грн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в день,</w:t>
                  </w:r>
                  <w:r/>
                </w:p>
                <w:p>
                  <w:pPr>
                    <w:pStyle w:val="182"/>
                    <w:numPr>
                      <w:ilvl w:val="0"/>
                      <w:numId w:val="4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додатково передбачено 10 % від вартості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дітодня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на літній оздоровчий та відпочинковий період ( вартість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дітодня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в літній період становить у 2020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році-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33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грн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в день, у 2021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році-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38,5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грн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в день, у 2022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році–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44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грн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в день)</w:t>
                  </w:r>
                  <w:r/>
                </w:p>
                <w:p>
                  <w:pPr>
                    <w:pStyle w:val="182"/>
                    <w:numPr>
                      <w:ilvl w:val="0"/>
                      <w:numId w:val="4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виконання норм харчування.</w:t>
                  </w:r>
                  <w:r/>
                </w:p>
                <w:p>
                  <w:pPr>
                    <w:ind w:firstLine="540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ІІІ. Мета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П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рограми</w:t>
                  </w:r>
                  <w:r/>
                </w:p>
                <w:p>
                  <w:pPr>
                    <w:ind w:firstLine="568"/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 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Основна мета Програми - це створення умов для збереження здоров’я дітей,  підвищення рівня організації  харчування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, забезпечення дітей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в закладах дошкільної освіти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якісним харчуванням.</w:t>
                  </w:r>
                  <w:r/>
                </w:p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І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  <w:t xml:space="preserve">V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. Завдання П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рограми</w:t>
                  </w:r>
                  <w:r/>
                </w:p>
                <w:p>
                  <w:pPr>
                    <w:numPr>
                      <w:ilvl w:val="0"/>
                      <w:numId w:val="2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створення єдиної системи  харчування;</w:t>
                  </w:r>
                  <w:r/>
                </w:p>
                <w:p>
                  <w:pPr>
                    <w:numPr>
                      <w:ilvl w:val="0"/>
                      <w:numId w:val="2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удосконалення управління системою організації харчування, оптимізації витрат на її функціонування;  </w:t>
                  </w:r>
                  <w:r/>
                </w:p>
                <w:p>
                  <w:pPr>
                    <w:numPr>
                      <w:ilvl w:val="0"/>
                      <w:numId w:val="2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створення умов для  харчування дітей;</w:t>
                  </w:r>
                  <w:r/>
                </w:p>
                <w:p>
                  <w:pPr>
                    <w:numPr>
                      <w:ilvl w:val="0"/>
                      <w:numId w:val="2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охоплен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ня гарячим харчуванням дітей в закладах дошкільної освіти;</w:t>
                  </w:r>
                  <w:r/>
                </w:p>
                <w:p>
                  <w:pPr>
                    <w:numPr>
                      <w:ilvl w:val="0"/>
                      <w:numId w:val="2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забезпечення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безкоштовним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гарячим харчуванням дітей пільгових категорій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(дітей – сиріт, дітей, позбавлених батьківського піклування, дітей з сімей, які отримують допомогу відповідно до  Закону України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«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Про державну соціальну допомогу малозабезпеченим сім’ям»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діти з особливими освітніми потребами, які навчаються в спеціальних і інклюзивних класах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дітей учасників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бойових дій (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АТО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ООС),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дітей, батьки яких загинули під час виконання службових обов’язків в зоні проведення антитерористичної операції та в зоні проведення операції об’єднаних сил, дітей з інвалідністю, дітей постраждалих внаслідок аварії на ЧАЕС, у виняткових випадках (в разі,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 та заяви одного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 батьків, за пропозицією відділу освіти Менської міської ради до виконавчого комітету).</w:t>
                  </w:r>
                  <w:r/>
                </w:p>
                <w:p>
                  <w:pPr>
                    <w:numPr>
                      <w:ilvl w:val="0"/>
                      <w:numId w:val="2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забезпечення гарячим харчуванням з оплатою у розмірі 50% від вартості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дітодня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для дітей з багатодітних сімей, що відвідують заклади дошкільної освіти Менської міської ради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/>
                </w:p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 w:eastAsia="Batang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b/>
                      <w:sz w:val="28"/>
                      <w:szCs w:val="28"/>
                      <w:lang w:val="en-US" w:eastAsia="ru-RU"/>
                    </w:rPr>
                    <w:t xml:space="preserve">V</w:t>
                  </w:r>
                  <w:r>
                    <w:rPr>
                      <w:rFonts w:ascii="Times New Roman" w:hAnsi="Times New Roman" w:eastAsia="Batang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eastAsia="Batang"/>
                      <w:b/>
                      <w:sz w:val="28"/>
                      <w:szCs w:val="28"/>
                      <w:lang w:eastAsia="ru-RU"/>
                    </w:rPr>
                    <w:t xml:space="preserve">Р</w:t>
                  </w:r>
                  <w:r>
                    <w:rPr>
                      <w:rFonts w:ascii="Times New Roman" w:hAnsi="Times New Roman" w:eastAsia="Batang"/>
                      <w:b/>
                      <w:sz w:val="28"/>
                      <w:szCs w:val="28"/>
                      <w:lang w:eastAsia="ru-RU"/>
                    </w:rPr>
                    <w:t xml:space="preserve">еалізація Програми</w:t>
                  </w:r>
                  <w:r/>
                </w:p>
                <w:p>
                  <w:pPr>
                    <w:ind w:firstLine="568"/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Програма організації харчування у закладах дошкільної осві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ти Менської міської ради на 2020-2022 ро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передбачає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забезпечення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якісним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харчуванням дітей всіх закладів дошкільної освіти Менської міської ради,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надання пільг при оплаті за харчування окремим категоріям дітей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Дана програма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необхідна для забезпечення раціонального та ефективного використання бюджетних коштів.</w:t>
                  </w:r>
                  <w:r/>
                </w:p>
                <w:p>
                  <w:pPr>
                    <w:jc w:val="center"/>
                    <w:spacing w:lineRule="auto" w:line="240"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VІ. Фінансування Програми</w:t>
                  </w:r>
                  <w:r/>
                </w:p>
                <w:p>
                  <w:pPr>
                    <w:jc w:val="both"/>
                    <w:spacing w:lineRule="auto" w:line="240" w:after="0"/>
                    <w:tabs>
                      <w:tab w:val="left" w:pos="6960" w:leader="none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 1. Кошти бюджету Менської ОТГ для харчування: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/>
                </w:p>
                <w:tbl>
                  <w:tblPr>
                    <w:tblW w:w="10129" w:type="dxa"/>
                    <w:tblLook w:val="01E0" w:firstRow="1" w:lastRow="1" w:firstColumn="1" w:lastColumn="1" w:noHBand="0" w:noVBand="0"/>
                  </w:tblPr>
                  <w:tblGrid>
                    <w:gridCol w:w="10129"/>
                  </w:tblGrid>
                  <w:tr>
                    <w:trPr>
                      <w:trHeight w:val="73"/>
                    </w:trPr>
                    <w:tc>
                      <w:tcPr>
                        <w:tcW w:w="10129" w:type="dxa"/>
                        <w:textDirection w:val="lrTb"/>
                        <w:noWrap w:val="false"/>
                      </w:tcPr>
                      <w:p>
                        <w:pPr>
                          <w:jc w:val="both"/>
                          <w:spacing w:lineRule="auto" w:line="240" w:after="0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 безкоштовне харчування дітей ЗДО пільгових категорій (дітей – сиріт, дітей, позбавлених батьківського піклування, дітей з сімей, які отримують допомогу відповідно до статті 19 Закону України «Про державну допомогу сім’ям з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дітьми»,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 xml:space="preserve">діти з особливими освітніми потребами, які навчаються в спеціальних і інклюзивних класах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 xml:space="preserve">,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дітей учасників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бойових дій (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АТО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,ООС)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,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дітей, батьки яких загинули під час виконання службових обов’язків в зоні проведення антитерористичної операції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та зоні проведення операції об’єднаних сил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дітей з інвалідністю, дітей постраждалих внаслідок аварії на ЧАЕС, у виняткових випадках (в разі, 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в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иконавчого комітету Менської міської ради (при наявності підтверджуючих документів та заяви одного з батьків, за пропозицією відділу освіти Менської міської ради до виконавчого комітету)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.</w:t>
                        </w:r>
                        <w:r/>
                      </w:p>
                      <w:p>
                        <w:pPr>
                          <w:jc w:val="both"/>
                          <w:spacing w:lineRule="auto" w:line="240" w:after="0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 оплата 50%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віл вартості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дітодня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за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дітей з багатодітних сімей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, що відвідують заклади дошкільної освіти Менської міської ради</w:t>
                        </w:r>
                        <w:r/>
                      </w:p>
                    </w:tc>
                  </w:tr>
                </w:tbl>
                <w:p>
                  <w:pPr>
                    <w:jc w:val="both"/>
                    <w:spacing w:lineRule="auto" w:line="240" w:after="0"/>
                    <w:tabs>
                      <w:tab w:val="left" w:pos="6960" w:leader="none"/>
                    </w:tabs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 Кошти спеціального фонду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:</w:t>
                  </w:r>
                  <w:r/>
                </w:p>
                <w:p>
                  <w:pPr>
                    <w:ind w:left="38" w:firstLine="682"/>
                    <w:jc w:val="both"/>
                    <w:spacing w:lineRule="auto" w:line="240" w:after="0"/>
                    <w:rPr>
                      <w:rFonts w:ascii="Times New Roman" w:hAnsi="Times New Roman" w:eastAsia="Batang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color w:val="000000"/>
                      <w:sz w:val="28"/>
                      <w:szCs w:val="28"/>
                      <w:lang w:eastAsia="ru-RU"/>
                    </w:rPr>
                    <w:t xml:space="preserve">Фінансування програми здійснюється за рахунок коштів бюджету Менської ОТГ та інших джерел не заборонених законодавством. При цьому обсяг коштів визначається під час формування бюджету з урахуванням його фінансових можливостей та може змінюватися в процесі в</w:t>
                  </w:r>
                  <w:r>
                    <w:rPr>
                      <w:rFonts w:ascii="Times New Roman" w:hAnsi="Times New Roman" w:eastAsia="Batang"/>
                      <w:color w:val="000000"/>
                      <w:sz w:val="28"/>
                      <w:szCs w:val="28"/>
                      <w:lang w:eastAsia="ru-RU"/>
                    </w:rPr>
                    <w:t xml:space="preserve">иконання бюджету при внесенні змін до нього.  </w:t>
                  </w:r>
                  <w:r/>
                </w:p>
                <w:p>
                  <w:pPr>
                    <w:ind w:left="38" w:firstLine="682"/>
                    <w:jc w:val="both"/>
                    <w:spacing w:lineRule="auto" w:line="240" w:after="0"/>
                    <w:rPr>
                      <w:rFonts w:ascii="Times New Roman" w:hAnsi="Times New Roman" w:eastAsia="Batang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color w:val="000000"/>
                      <w:sz w:val="28"/>
                      <w:szCs w:val="28"/>
                      <w:lang w:eastAsia="ru-RU"/>
                    </w:rPr>
                    <w:t xml:space="preserve">Орієнтовні обсяги т</w:t>
                  </w:r>
                  <w:r>
                    <w:rPr>
                      <w:rFonts w:ascii="Times New Roman" w:hAnsi="Times New Roman" w:eastAsia="Batang"/>
                      <w:color w:val="000000"/>
                      <w:sz w:val="28"/>
                      <w:szCs w:val="28"/>
                      <w:lang w:eastAsia="ru-RU"/>
                    </w:rPr>
                    <w:t xml:space="preserve">а джерела фінансування Програми </w:t>
                  </w:r>
                  <w:r>
                    <w:rPr>
                      <w:rFonts w:ascii="Times New Roman" w:hAnsi="Times New Roman" w:eastAsia="Times New Roman"/>
                      <w:sz w:val="28"/>
                      <w:szCs w:val="28"/>
                      <w:lang w:eastAsia="uk-UA"/>
                    </w:rPr>
                    <w:t xml:space="preserve">організації харчування дітей в закладах дошкільної освіти Менської міської ради на 2020-2022 ро</w:t>
                  </w:r>
                  <w:r>
                    <w:rPr>
                      <w:rFonts w:ascii="Times New Roman" w:hAnsi="Times New Roman" w:eastAsia="Times New Roman"/>
                      <w:sz w:val="28"/>
                      <w:szCs w:val="28"/>
                      <w:lang w:eastAsia="uk-UA"/>
                    </w:rPr>
                    <w:t xml:space="preserve">к</w:t>
                  </w:r>
                  <w:r>
                    <w:rPr>
                      <w:rFonts w:ascii="Times New Roman" w:hAnsi="Times New Roman" w:eastAsia="Times New Roman"/>
                      <w:sz w:val="28"/>
                      <w:szCs w:val="28"/>
                      <w:lang w:eastAsia="uk-UA"/>
                    </w:rPr>
                    <w:t xml:space="preserve">и</w:t>
                  </w:r>
                  <w:r>
                    <w:rPr>
                      <w:rFonts w:ascii="Times New Roman" w:hAnsi="Times New Roman" w:eastAsia="Times New Roman"/>
                      <w:sz w:val="28"/>
                      <w:szCs w:val="28"/>
                      <w:lang w:eastAsia="uk-UA"/>
                    </w:rPr>
                    <w:t xml:space="preserve">.</w:t>
                  </w:r>
                  <w:r/>
                </w:p>
                <w:p>
                  <w:pPr>
                    <w:jc w:val="center"/>
                    <w:spacing w:lineRule="auto" w:line="240" w:after="0"/>
                    <w:tabs>
                      <w:tab w:val="left" w:pos="3000" w:leader="none"/>
                    </w:tabs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VІ. </w:t>
                  </w:r>
                  <w:r>
                    <w:rPr>
                      <w:rFonts w:ascii="Times New Roman" w:hAnsi="Times New Roman" w:eastAsia="Batang"/>
                      <w:b/>
                      <w:sz w:val="28"/>
                      <w:szCs w:val="28"/>
                      <w:lang w:eastAsia="ru-RU"/>
                    </w:rPr>
                    <w:t xml:space="preserve">Очікуванні результати</w:t>
                  </w:r>
                  <w:r>
                    <w:rPr>
                      <w:rFonts w:ascii="Times New Roman" w:hAnsi="Times New Roman" w:eastAsia="Batang"/>
                      <w:b/>
                      <w:sz w:val="28"/>
                      <w:szCs w:val="28"/>
                      <w:lang w:eastAsia="ru-RU"/>
                    </w:rPr>
                    <w:t xml:space="preserve"> від реалізації П</w:t>
                  </w:r>
                  <w:r>
                    <w:rPr>
                      <w:rFonts w:ascii="Times New Roman" w:hAnsi="Times New Roman" w:eastAsia="Batang"/>
                      <w:b/>
                      <w:sz w:val="28"/>
                      <w:szCs w:val="28"/>
                      <w:lang w:eastAsia="ru-RU"/>
                    </w:rPr>
                    <w:t xml:space="preserve">рограми</w:t>
                  </w:r>
                  <w:r/>
                </w:p>
                <w:p>
                  <w:pPr>
                    <w:numPr>
                      <w:ilvl w:val="0"/>
                      <w:numId w:val="3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створення єдиної системи харчування;</w:t>
                  </w:r>
                  <w:r/>
                </w:p>
                <w:p>
                  <w:pPr>
                    <w:numPr>
                      <w:ilvl w:val="0"/>
                      <w:numId w:val="3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забезпечення бе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зкоштовним харчуванням в закладах дошкільної освіти дітей пільгових категорій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(дітей – сиріт, дітей, позбавлених батьківського піклування, дітей з сімей, які отримують допомогу відповідно до статті 19 Закону України «Про державну допомогу сім’ям з дітьми»,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діти з особливими освітніми потребами, які навчаються в спеціальних і інклюзивних класах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дітей учасників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бойових дій 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АТО,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ООС),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дітей, батьки яких загинули під час виконання службових обов’язків в зоні проведення антитерористичної операції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 зоні проведення операції об’єднаних сил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дітей з інвалідністю, дітей постраждалих внаслідок аварії на ЧАЕС,  у виняткових випадках (в разі, 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виконавчого комітету Менської міської ради (при наявності підтверджуючих документів та заяви одного з батьків, за пропозицією відділу освіти Менської міської ради до виконавчого комітету)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;</w:t>
                  </w:r>
                  <w:r/>
                </w:p>
                <w:p>
                  <w:pPr>
                    <w:numPr>
                      <w:ilvl w:val="0"/>
                      <w:numId w:val="3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забезпечення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харчуванням з пільгою у розмірі 50 % в закладах дошкільної освіти дітей пільгових категорій ( діти з багатодітних сімей)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;</w:t>
                  </w:r>
                  <w:r/>
                </w:p>
                <w:p>
                  <w:pPr>
                    <w:numPr>
                      <w:ilvl w:val="0"/>
                      <w:numId w:val="3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створення умов, що сприяють зміцненню здоров`я дітей дошкільного віку, їх гармонійному розвитку;</w:t>
                  </w:r>
                  <w:r/>
                </w:p>
                <w:p>
                  <w:pPr>
                    <w:numPr>
                      <w:ilvl w:val="0"/>
                      <w:numId w:val="3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забезпечення якісним харчуванням дітей 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дошкільного віку в закладах дошкільної освіти Менської міської ради</w:t>
                  </w: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 (відповідно до чинного законодавства); </w:t>
                  </w:r>
                  <w:r/>
                </w:p>
                <w:p>
                  <w:pPr>
                    <w:numPr>
                      <w:ilvl w:val="0"/>
                      <w:numId w:val="3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поліпшення якості харчування;</w:t>
                  </w:r>
                  <w:r/>
                </w:p>
                <w:p>
                  <w:pPr>
                    <w:numPr>
                      <w:ilvl w:val="0"/>
                      <w:numId w:val="3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формування навичок правильного та здорового харчування</w:t>
                  </w:r>
                  <w:r/>
                </w:p>
                <w:p>
                  <w:pPr>
                    <w:numPr>
                      <w:ilvl w:val="0"/>
                      <w:numId w:val="3"/>
                    </w:num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  <w:t xml:space="preserve">впровадження нових технологій в організації харчування.</w:t>
                  </w:r>
                  <w:r/>
                </w:p>
                <w:p>
                  <w:pPr>
                    <w:jc w:val="center"/>
                    <w:spacing w:lineRule="auto" w:line="240" w:after="0"/>
                    <w:tabs>
                      <w:tab w:val="left" w:pos="945" w:leader="none"/>
                    </w:tabs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V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ІІ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 xml:space="preserve">Управління та контроль за ходом виконання Програми</w:t>
                  </w:r>
                  <w:r/>
                </w:p>
                <w:p>
                  <w:pPr>
                    <w:ind w:firstLine="709"/>
                    <w:jc w:val="both"/>
                    <w:spacing w:lineRule="auto" w:line="240"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Головним виконавцем Програми є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відділ освіти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Менської міської ради. Контроль за її виконанням здійснює виконавчий комітет міської ради.</w:t>
                  </w:r>
                  <w:r/>
                </w:p>
                <w:p>
                  <w:pPr>
                    <w:pStyle w:val="186"/>
                    <w:ind w:left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  <w:lang w:val="en-US"/>
                    </w:rPr>
                    <w:t xml:space="preserve">VII</w:t>
                  </w:r>
                  <w:r>
                    <w:rPr>
                      <w:b/>
                      <w:szCs w:val="28"/>
                    </w:rPr>
                    <w:t xml:space="preserve">I. Заходи Програми</w:t>
                  </w:r>
                  <w:r/>
                </w:p>
                <w:tbl>
                  <w:tblPr>
                    <w:tblW w:w="9678" w:type="dxa"/>
                    <w:tblBorders>
                      <w:left w:val="single" w:sz="4" w:space="0" w:color="auto"/>
                      <w:top w:val="single" w:sz="4" w:space="0" w:color="auto"/>
                      <w:right w:val="single" w:sz="4" w:space="0" w:color="auto"/>
                      <w:bottom w:val="single" w:sz="4" w:space="0" w:color="auto"/>
                      <w:insideV w:val="single" w:sz="4" w:space="0" w:color="auto"/>
                      <w:insideH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666"/>
                    <w:gridCol w:w="3268"/>
                    <w:gridCol w:w="1783"/>
                    <w:gridCol w:w="2554"/>
                    <w:gridCol w:w="1407"/>
                  </w:tblGrid>
                  <w:tr>
                    <w:trPr>
                      <w:trHeight w:val="139"/>
                    </w:trPr>
                    <w:tc>
                      <w:tcPr>
                        <w:tcW w:w="692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№</w:t>
                        </w:r>
                        <w:r/>
                      </w:p>
                      <w:p>
                        <w:pPr>
                          <w:pStyle w:val="185"/>
                          <w:jc w:val="center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п/п</w:t>
                        </w:r>
                        <w:r/>
                      </w:p>
                    </w:tc>
                    <w:tc>
                      <w:tcPr>
                        <w:tcW w:w="3597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Заходи</w:t>
                        </w:r>
                        <w:r/>
                      </w:p>
                    </w:tc>
                    <w:tc>
                      <w:tcPr>
                        <w:tcW w:w="1797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Джерела фінансування</w:t>
                        </w:r>
                        <w:r/>
                      </w:p>
                    </w:tc>
                    <w:tc>
                      <w:tcPr>
                        <w:tcW w:w="2209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Виконавці</w:t>
                        </w:r>
                        <w:r/>
                      </w:p>
                    </w:tc>
                    <w:tc>
                      <w:tcPr>
                        <w:tcW w:w="1383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ind w:left="-391" w:right="17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Термін</w:t>
                        </w:r>
                        <w:r/>
                      </w:p>
                      <w:p>
                        <w:pPr>
                          <w:pStyle w:val="185"/>
                          <w:jc w:val="center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виконання</w:t>
                        </w:r>
                        <w:r/>
                      </w:p>
                    </w:tc>
                  </w:tr>
                  <w:tr>
                    <w:trPr>
                      <w:cantSplit/>
                      <w:trHeight w:val="318"/>
                    </w:trPr>
                    <w:tc>
                      <w:tcPr>
                        <w:gridSpan w:val="5"/>
                        <w:tcW w:w="967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1.Організаційно – методичне забезпечення</w:t>
                        </w:r>
                        <w:r/>
                      </w:p>
                    </w:tc>
                  </w:tr>
                  <w:tr>
                    <w:trPr>
                      <w:trHeight w:val="694"/>
                    </w:trPr>
                    <w:tc>
                      <w:tcPr>
                        <w:tcW w:w="692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1.1</w:t>
                        </w:r>
                        <w:r/>
                      </w:p>
                    </w:tc>
                    <w:tc>
                      <w:tcPr>
                        <w:tcW w:w="35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Оформлення  інформаційних куточків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для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батьків щодо харчування дітей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.</w:t>
                        </w:r>
                        <w:r/>
                      </w:p>
                    </w:tc>
                    <w:tc>
                      <w:tcPr>
                        <w:tcW w:w="17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Не потребує</w:t>
                        </w:r>
                        <w:r/>
                      </w:p>
                    </w:tc>
                    <w:tc>
                      <w:tcPr>
                        <w:tcW w:w="2209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З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дошкільної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  <w:r/>
                      </w:p>
                    </w:tc>
                    <w:tc>
                      <w:tcPr>
                        <w:tcW w:w="1383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20-2022</w:t>
                        </w:r>
                        <w:r/>
                      </w:p>
                    </w:tc>
                  </w:tr>
                  <w:tr>
                    <w:trPr>
                      <w:trHeight w:val="791"/>
                    </w:trPr>
                    <w:tc>
                      <w:tcPr>
                        <w:tcW w:w="692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1.2</w:t>
                        </w:r>
                        <w:r/>
                      </w:p>
                    </w:tc>
                    <w:tc>
                      <w:tcPr>
                        <w:tcW w:w="35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Складання та оновлення бази даних дітей, які потребують безкоштовного харчування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.</w:t>
                        </w:r>
                        <w:r/>
                      </w:p>
                    </w:tc>
                    <w:tc>
                      <w:tcPr>
                        <w:tcW w:w="17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Не потребує</w:t>
                        </w:r>
                        <w:r/>
                      </w:p>
                    </w:tc>
                    <w:tc>
                      <w:tcPr>
                        <w:tcW w:w="2209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Відділ освіти Менської міської ради,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з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дошкільної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  <w:r/>
                      </w:p>
                    </w:tc>
                    <w:tc>
                      <w:tcPr>
                        <w:tcW w:w="1383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20-2022</w:t>
                        </w:r>
                        <w:r/>
                      </w:p>
                    </w:tc>
                  </w:tr>
                  <w:tr>
                    <w:trPr>
                      <w:trHeight w:val="269"/>
                    </w:trPr>
                    <w:tc>
                      <w:tcPr>
                        <w:tcW w:w="692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1.3</w:t>
                        </w:r>
                        <w:r/>
                      </w:p>
                    </w:tc>
                    <w:tc>
                      <w:tcPr>
                        <w:tcW w:w="35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Організація та проведення нарад  для працівників харчоблоків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.</w:t>
                        </w:r>
                        <w:r/>
                      </w:p>
                    </w:tc>
                    <w:tc>
                      <w:tcPr>
                        <w:tcW w:w="17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Не потребує</w:t>
                        </w:r>
                        <w:r/>
                      </w:p>
                    </w:tc>
                    <w:tc>
                      <w:tcPr>
                        <w:tcW w:w="2209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Відділ освіти Менської міської ради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Держпродспоживслужба</w:t>
                        </w:r>
                        <w:r/>
                      </w:p>
                    </w:tc>
                    <w:tc>
                      <w:tcPr>
                        <w:tcW w:w="1383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ind w:right="-244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20-2022</w:t>
                        </w:r>
                        <w:r/>
                      </w:p>
                    </w:tc>
                  </w:tr>
                  <w:tr>
                    <w:trPr>
                      <w:cantSplit/>
                      <w:trHeight w:val="306"/>
                    </w:trPr>
                    <w:tc>
                      <w:tcPr>
                        <w:gridSpan w:val="5"/>
                        <w:tcW w:w="967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2. Організація харчування у закладах загальної середньої освіти Менської міської ради</w:t>
                        </w:r>
                        <w:r/>
                      </w:p>
                    </w:tc>
                  </w:tr>
                  <w:tr>
                    <w:trPr>
                      <w:trHeight w:val="701"/>
                    </w:trPr>
                    <w:tc>
                      <w:tcPr>
                        <w:tcW w:w="692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2.1</w:t>
                        </w:r>
                        <w:r/>
                      </w:p>
                    </w:tc>
                    <w:tc>
                      <w:tcPr>
                        <w:tcW w:w="35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jc w:val="both"/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Забезпечення безкоштовним харчуванням: дітей-сиріт;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дітей, позбавлених батьківського піклування, дітей з сімей, які отримують допомогу відповідно до Закону України «Про державну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соціальну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допомогу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малозабезпеченим сім’ям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»,</w:t>
                        </w:r>
                        <w:r>
                          <w:rPr>
                            <w:rFonts w:ascii="Times New Roman" w:hAnsi="Times New Roman"/>
                            <w:lang w:val="uk-UA" w:eastAsia="uk-UA"/>
                          </w:rPr>
                          <w:t xml:space="preserve">діти з особливими освітніми потребами, які навчаються в спеціальних і інклюзивних класах</w:t>
                        </w:r>
                        <w:r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 дітей учасників бойових</w:t>
                        </w:r>
                        <w:r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 дій (АТО, ООС), дітей, батьки яких загинули під час виконання службових обов'язків в зоні проведення АТО та зоні проведення ООС, дітей з інвалідністю, дітей постраждалих внаслідок аварії на ЧАЕС та у виняткових випадках (в разі, якщо сім'я опинилась в скла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відділу освіти Менської міської ради).</w:t>
                        </w:r>
                        <w:r/>
                      </w:p>
                      <w:p>
                        <w:pPr>
                          <w:pStyle w:val="185"/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Оплата 50% від вартості харчування в день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дітей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з багатодітних сімей.</w:t>
                        </w:r>
                        <w:r/>
                      </w:p>
                    </w:tc>
                    <w:tc>
                      <w:tcPr>
                        <w:tcW w:w="17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Бюджет Менської ОТГ</w:t>
                        </w:r>
                        <w:r/>
                      </w:p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</w:r>
                        <w:r/>
                      </w:p>
                    </w:tc>
                    <w:tc>
                      <w:tcPr>
                        <w:tcW w:w="2209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Відділ освіти Менської міської ради</w:t>
                        </w:r>
                        <w:r/>
                      </w:p>
                    </w:tc>
                    <w:tc>
                      <w:tcPr>
                        <w:tcW w:w="1383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20-2022</w:t>
                        </w:r>
                        <w:r/>
                      </w:p>
                    </w:tc>
                  </w:tr>
                  <w:tr>
                    <w:trPr>
                      <w:trHeight w:val="783"/>
                    </w:trPr>
                    <w:tc>
                      <w:tcPr>
                        <w:tcW w:w="692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2.2.</w:t>
                        </w:r>
                        <w:r/>
                      </w:p>
                    </w:tc>
                    <w:tc>
                      <w:tcPr>
                        <w:tcW w:w="35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Організація раціонального  харчування з урахуванням віку і стану здоров'я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дітей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.</w:t>
                        </w:r>
                        <w:r/>
                      </w:p>
                    </w:tc>
                    <w:tc>
                      <w:tcPr>
                        <w:tcW w:w="17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Не потребує</w:t>
                        </w:r>
                        <w:r/>
                      </w:p>
                    </w:tc>
                    <w:tc>
                      <w:tcPr>
                        <w:tcW w:w="2209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З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дошкільної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  <w:r/>
                      </w:p>
                    </w:tc>
                    <w:tc>
                      <w:tcPr>
                        <w:tcW w:w="1383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20-2022</w:t>
                        </w:r>
                        <w:r/>
                      </w:p>
                    </w:tc>
                  </w:tr>
                  <w:tr>
                    <w:trPr>
                      <w:trHeight w:val="1211"/>
                    </w:trPr>
                    <w:tc>
                      <w:tcPr>
                        <w:tcW w:w="692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2.7</w:t>
                        </w:r>
                        <w:r/>
                      </w:p>
                    </w:tc>
                    <w:tc>
                      <w:tcPr>
                        <w:tcW w:w="35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Дотримання санітарно-гігієнічних норм щодо організації харчування, оптимального режиму роботи їдалень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.</w:t>
                        </w:r>
                        <w:r/>
                      </w:p>
                    </w:tc>
                    <w:tc>
                      <w:tcPr>
                        <w:tcW w:w="17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Не потребує</w:t>
                        </w:r>
                        <w:r/>
                      </w:p>
                    </w:tc>
                    <w:tc>
                      <w:tcPr>
                        <w:tcW w:w="2209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Відділ освіти Менської міської ради,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З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дошкільної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  <w:r/>
                      </w:p>
                    </w:tc>
                    <w:tc>
                      <w:tcPr>
                        <w:tcW w:w="1383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20-2022</w:t>
                        </w:r>
                        <w:r/>
                      </w:p>
                    </w:tc>
                  </w:tr>
                  <w:tr>
                    <w:trPr>
                      <w:cantSplit/>
                      <w:trHeight w:val="309"/>
                    </w:trPr>
                    <w:tc>
                      <w:tcPr>
                        <w:gridSpan w:val="5"/>
                        <w:tcW w:w="967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3. Підвищення якості харчування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учнів</w:t>
                        </w:r>
                        <w:r/>
                      </w:p>
                    </w:tc>
                  </w:tr>
                  <w:tr>
                    <w:trPr>
                      <w:trHeight w:val="519"/>
                    </w:trPr>
                    <w:tc>
                      <w:tcPr>
                        <w:tcW w:w="692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3.1</w:t>
                        </w:r>
                        <w:r/>
                      </w:p>
                    </w:tc>
                    <w:tc>
                      <w:tcPr>
                        <w:tcW w:w="35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Розширення асортименту страв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.</w:t>
                        </w:r>
                        <w:r/>
                      </w:p>
                    </w:tc>
                    <w:tc>
                      <w:tcPr>
                        <w:tcW w:w="17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Не потребує</w:t>
                        </w:r>
                        <w:r/>
                      </w:p>
                    </w:tc>
                    <w:tc>
                      <w:tcPr>
                        <w:tcW w:w="2209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З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дошкільної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  <w:r/>
                      </w:p>
                    </w:tc>
                    <w:tc>
                      <w:tcPr>
                        <w:tcW w:w="1383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20-2022</w:t>
                        </w:r>
                        <w:r/>
                      </w:p>
                    </w:tc>
                  </w:tr>
                  <w:tr>
                    <w:trPr>
                      <w:trHeight w:val="980"/>
                    </w:trPr>
                    <w:tc>
                      <w:tcPr>
                        <w:tcW w:w="692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3.2</w:t>
                        </w:r>
                        <w:r/>
                      </w:p>
                    </w:tc>
                    <w:tc>
                      <w:tcPr>
                        <w:tcW w:w="35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Розробка перспективного меню з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виконання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норм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харчування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відп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овідно до чинного законодавства.</w:t>
                        </w:r>
                        <w:r/>
                      </w:p>
                    </w:tc>
                    <w:tc>
                      <w:tcPr>
                        <w:tcW w:w="17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Не потребує</w:t>
                        </w:r>
                        <w:r/>
                      </w:p>
                    </w:tc>
                    <w:tc>
                      <w:tcPr>
                        <w:tcW w:w="2209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З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дошкільної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  <w:r/>
                      </w:p>
                    </w:tc>
                    <w:tc>
                      <w:tcPr>
                        <w:tcW w:w="1383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20-2022</w:t>
                        </w:r>
                        <w:r/>
                      </w:p>
                    </w:tc>
                  </w:tr>
                  <w:tr>
                    <w:trPr>
                      <w:trHeight w:val="1253"/>
                    </w:trPr>
                    <w:tc>
                      <w:tcPr>
                        <w:tcW w:w="692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3.3</w:t>
                        </w:r>
                        <w:r/>
                      </w:p>
                    </w:tc>
                    <w:tc>
                      <w:tcPr>
                        <w:tcW w:w="35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Контроль за якістю та безпекою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харчування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, дотриманням термінів, умов зберігання та реалізації продуктів, за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поставкою продуктів харчування.</w:t>
                        </w:r>
                        <w:r/>
                      </w:p>
                    </w:tc>
                    <w:tc>
                      <w:tcPr>
                        <w:tcW w:w="1797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Не потребує</w:t>
                        </w:r>
                        <w:r/>
                      </w:p>
                    </w:tc>
                    <w:tc>
                      <w:tcPr>
                        <w:tcW w:w="2209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Відділ освіти Менської міської ради,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з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дошкільної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  <w:r/>
                      </w:p>
                    </w:tc>
                    <w:tc>
                      <w:tcPr>
                        <w:tcW w:w="1383" w:type="dxa"/>
                        <w:textDirection w:val="lrTb"/>
                        <w:noWrap w:val="false"/>
                      </w:tcPr>
                      <w:p>
                        <w:pPr>
                          <w:pStyle w:val="185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20-2022</w:t>
                        </w:r>
                        <w:r/>
                      </w:p>
                    </w:tc>
                  </w:tr>
                </w:tbl>
                <w:p>
                  <w:pPr>
                    <w:ind w:firstLine="709"/>
                    <w:jc w:val="both"/>
                    <w:spacing w:lineRule="auto" w:line="240"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  <w:r/>
                </w:p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Batang"/>
                      <w:sz w:val="28"/>
                      <w:szCs w:val="28"/>
                      <w:lang w:eastAsia="ru-RU"/>
                    </w:rPr>
                  </w:r>
                  <w:r/>
                </w:p>
              </w:tc>
            </w:tr>
            <w:tr>
              <w:trPr>
                <w:tblCellSpacing w:w="0" w:type="dxa"/>
              </w:trPr>
              <w:tc>
                <w:tcPr>
                  <w:tcW w:w="5000" w:type="pct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r>
                  <w:r/>
                </w:p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r>
                  <w:r/>
                </w:p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r>
                  <w:r/>
                </w:p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r>
                  <w:r/>
                </w:p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r>
                  <w:r/>
                </w:p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r>
                  <w:r/>
                </w:p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r>
                  <w:r/>
                </w:p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r>
                  <w:r/>
                </w:p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r>
                  <w:r/>
                </w:p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r>
                  <w:r/>
                </w:p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r>
                  <w:r/>
                </w:p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r>
                  <w:r/>
                </w:p>
                <w:p>
                  <w:pPr>
                    <w:jc w:val="both"/>
                    <w:spacing w:lineRule="auto" w:line="240" w:after="0"/>
                    <w:tabs>
                      <w:tab w:val="left" w:pos="993" w:leader="none"/>
                    </w:tabs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  <w:r/>
                </w:p>
              </w:tc>
            </w:tr>
          </w:tbl>
          <w:p>
            <w:pPr>
              <w:jc w:val="both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</w:tbl>
    <w:p>
      <w:r/>
      <w:r/>
    </w:p>
    <w:sectPr>
      <w:footnotePr/>
      <w:type w:val="nextPage"/>
      <w:pgSz w:w="11906" w:h="16838"/>
      <w:pgMar w:top="851" w:right="1134" w:bottom="851" w:left="1134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BatangChe">
    <w:panose1 w:val="02020603020101020101"/>
  </w:font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1"/>
      <w:numFmt w:val="bullet"/>
      <w:suff w:val="tab"/>
      <w:lvlText w:val="-"/>
      <w:lvlJc w:val="left"/>
      <w:pPr>
        <w:ind w:left="1647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2367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3087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807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527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247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967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687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407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</w:pPr>
    </w:lvl>
    <w:lvl w:ilvl="2">
      <w:start w:val="1"/>
      <w:numFmt w:val="lowerRoman"/>
      <w:suff w:val="tab"/>
      <w:lvlText w:val="%3."/>
      <w:lvlJc w:val="right"/>
      <w:pPr>
        <w:ind w:left="2520" w:hanging="179"/>
      </w:pPr>
    </w:lvl>
    <w:lvl w:ilvl="3">
      <w:start w:val="1"/>
      <w:numFmt w:val="decimal"/>
      <w:suff w:val="tab"/>
      <w:lvlText w:val="%4."/>
      <w:lvlJc w:val="left"/>
      <w:pPr>
        <w:ind w:left="3240" w:hanging="359"/>
      </w:pPr>
    </w:lvl>
    <w:lvl w:ilvl="4">
      <w:start w:val="1"/>
      <w:numFmt w:val="lowerLetter"/>
      <w:suff w:val="tab"/>
      <w:lvlText w:val="%5."/>
      <w:lvlJc w:val="left"/>
      <w:pPr>
        <w:ind w:left="3960" w:hanging="359"/>
      </w:pPr>
    </w:lvl>
    <w:lvl w:ilvl="5">
      <w:start w:val="1"/>
      <w:numFmt w:val="lowerRoman"/>
      <w:suff w:val="tab"/>
      <w:lvlText w:val="%6."/>
      <w:lvlJc w:val="right"/>
      <w:pPr>
        <w:ind w:left="4680" w:hanging="179"/>
      </w:pPr>
    </w:lvl>
    <w:lvl w:ilvl="6">
      <w:start w:val="1"/>
      <w:numFmt w:val="decimal"/>
      <w:suff w:val="tab"/>
      <w:lvlText w:val="%7."/>
      <w:lvlJc w:val="left"/>
      <w:pPr>
        <w:ind w:left="5400" w:hanging="359"/>
      </w:pPr>
    </w:lvl>
    <w:lvl w:ilvl="7">
      <w:start w:val="1"/>
      <w:numFmt w:val="lowerLetter"/>
      <w:suff w:val="tab"/>
      <w:lvlText w:val="%8."/>
      <w:lvlJc w:val="left"/>
      <w:pPr>
        <w:ind w:left="6120" w:hanging="359"/>
      </w:pPr>
    </w:lvl>
    <w:lvl w:ilvl="8">
      <w:start w:val="1"/>
      <w:numFmt w:val="lowerRoman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3"/>
      <w:numFmt w:val="bullet"/>
      <w:suff w:val="tab"/>
      <w:lvlText w:val=""/>
      <w:lvlJc w:val="left"/>
      <w:pPr>
        <w:ind w:left="720" w:hanging="359"/>
      </w:pPr>
      <w:rPr>
        <w:rFonts w:ascii="Symbol" w:hAnsi="Symbol" w:cs="Times New Roman" w:eastAsia="Batang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5"/>
      <w:numFmt w:val="bullet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2"/>
    <w:next w:val="1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2"/>
    <w:next w:val="1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2"/>
    <w:next w:val="1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2"/>
    <w:next w:val="1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2"/>
    <w:next w:val="1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2"/>
    <w:next w:val="1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2"/>
    <w:next w:val="1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2"/>
    <w:next w:val="1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2"/>
    <w:next w:val="1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172"/>
    <w:next w:val="1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3"/>
    <w:link w:val="32"/>
    <w:uiPriority w:val="10"/>
    <w:rPr>
      <w:sz w:val="48"/>
      <w:szCs w:val="48"/>
    </w:rPr>
  </w:style>
  <w:style w:type="paragraph" w:styleId="34">
    <w:name w:val="Subtitle"/>
    <w:basedOn w:val="172"/>
    <w:next w:val="1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3"/>
    <w:link w:val="34"/>
    <w:uiPriority w:val="11"/>
    <w:rPr>
      <w:sz w:val="24"/>
      <w:szCs w:val="24"/>
    </w:rPr>
  </w:style>
  <w:style w:type="paragraph" w:styleId="36">
    <w:name w:val="Quote"/>
    <w:basedOn w:val="172"/>
    <w:next w:val="1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2"/>
    <w:next w:val="1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3"/>
    <w:link w:val="40"/>
    <w:uiPriority w:val="99"/>
  </w:style>
  <w:style w:type="paragraph" w:styleId="42">
    <w:name w:val="Footer"/>
    <w:basedOn w:val="1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3"/>
    <w:link w:val="42"/>
    <w:uiPriority w:val="99"/>
  </w:style>
  <w:style w:type="table" w:styleId="45">
    <w:name w:val="Lined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3"/>
    <w:uiPriority w:val="99"/>
    <w:unhideWhenUsed/>
    <w:rPr>
      <w:vertAlign w:val="superscript"/>
    </w:rPr>
  </w:style>
  <w:style w:type="paragraph" w:styleId="70">
    <w:name w:val="toc 1"/>
    <w:basedOn w:val="172"/>
    <w:next w:val="172"/>
    <w:uiPriority w:val="39"/>
    <w:unhideWhenUsed/>
    <w:pPr>
      <w:ind w:left="0" w:right="0" w:hanging="0"/>
      <w:spacing w:after="57"/>
    </w:pPr>
  </w:style>
  <w:style w:type="paragraph" w:styleId="71">
    <w:name w:val="toc 2"/>
    <w:basedOn w:val="172"/>
    <w:next w:val="17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2"/>
    <w:next w:val="17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2"/>
    <w:next w:val="17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2"/>
    <w:next w:val="17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2"/>
    <w:next w:val="17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2"/>
    <w:next w:val="17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2"/>
    <w:next w:val="17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2"/>
    <w:next w:val="17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2" w:default="1">
    <w:name w:val="Normal"/>
    <w:qFormat/>
    <w:rPr>
      <w:rFonts w:ascii="Calibri" w:hAnsi="Calibri" w:cs="Times New Roman" w:eastAsia="Calibri"/>
    </w:rPr>
    <w:pPr>
      <w:spacing w:lineRule="auto" w:line="259" w:after="160"/>
    </w:pPr>
  </w:style>
  <w:style w:type="character" w:styleId="173" w:default="1">
    <w:name w:val="Default Paragraph Font"/>
    <w:uiPriority w:val="1"/>
    <w:semiHidden/>
    <w:unhideWhenUsed/>
  </w:style>
  <w:style w:type="table" w:styleId="1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5" w:default="1">
    <w:name w:val="No List"/>
    <w:uiPriority w:val="99"/>
    <w:semiHidden/>
    <w:unhideWhenUsed/>
  </w:style>
  <w:style w:type="paragraph" w:styleId="176">
    <w:name w:val="Balloon Text"/>
    <w:basedOn w:val="172"/>
    <w:link w:val="17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77" w:customStyle="1">
    <w:name w:val="Текст выноски Знак"/>
    <w:basedOn w:val="173"/>
    <w:link w:val="176"/>
    <w:uiPriority w:val="99"/>
    <w:semiHidden/>
    <w:rPr>
      <w:rFonts w:ascii="Tahoma" w:hAnsi="Tahoma" w:cs="Tahoma" w:eastAsia="Calibri"/>
      <w:sz w:val="16"/>
      <w:szCs w:val="16"/>
    </w:rPr>
  </w:style>
  <w:style w:type="paragraph" w:styleId="178">
    <w:name w:val="Normal (Web)"/>
    <w:basedOn w:val="172"/>
    <w:uiPriority w:val="99"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179" w:customStyle="1">
    <w:name w:val="docdata"/>
    <w:basedOn w:val="172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180" w:customStyle="1">
    <w:name w:val="4386"/>
    <w:basedOn w:val="173"/>
  </w:style>
  <w:style w:type="table" w:styleId="181">
    <w:name w:val="Table Grid"/>
    <w:basedOn w:val="1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82">
    <w:name w:val="List Paragraph"/>
    <w:basedOn w:val="172"/>
    <w:qFormat/>
    <w:uiPriority w:val="34"/>
    <w:pPr>
      <w:contextualSpacing w:val="true"/>
      <w:ind w:left="720"/>
    </w:pPr>
  </w:style>
  <w:style w:type="paragraph" w:styleId="183">
    <w:name w:val="HTML Preformatted"/>
    <w:basedOn w:val="172"/>
    <w:link w:val="184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84" w:customStyle="1">
    <w:name w:val="Стандартный HTML Знак"/>
    <w:basedOn w:val="173"/>
    <w:link w:val="183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185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186">
    <w:name w:val="Body Text Indent"/>
    <w:basedOn w:val="172"/>
    <w:link w:val="187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187" w:customStyle="1">
    <w:name w:val="Основной текст с отступом Знак"/>
    <w:basedOn w:val="173"/>
    <w:link w:val="186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188" w:customStyle="1">
    <w:name w:val="1332"/>
    <w:basedOn w:val="173"/>
  </w:style>
  <w:style w:type="character" w:styleId="189" w:customStyle="1">
    <w:name w:val="4247"/>
    <w:basedOn w:val="173"/>
  </w:style>
  <w:style w:type="character" w:styleId="190" w:customStyle="1">
    <w:name w:val="4285"/>
    <w:basedOn w:val="173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