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19048" t="0" r="9523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</w:t>
      </w:r>
      <w:r>
        <w:rPr>
          <w:b/>
          <w:sz w:val="28"/>
          <w:szCs w:val="28"/>
        </w:rPr>
        <w:t xml:space="preserve"> району </w:t>
      </w:r>
      <w:r>
        <w:rPr>
          <w:b/>
          <w:sz w:val="28"/>
          <w:szCs w:val="28"/>
        </w:rPr>
        <w:t xml:space="preserve">Чернігівської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п'ята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сесія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сьомого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скликання</w:t>
      </w:r>
      <w:r>
        <w:rPr>
          <w:b/>
          <w:sz w:val="28"/>
          <w:szCs w:val="28"/>
        </w:rPr>
        <w:t xml:space="preserve">)</w:t>
      </w:r>
      <w:r/>
    </w:p>
    <w:p>
      <w:pPr>
        <w:ind w:left="15" w:hanging="13"/>
        <w:jc w:val="center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ПРОЕКТ </w:t>
      </w:r>
      <w:r>
        <w:rPr>
          <w:b/>
          <w:bCs/>
          <w:spacing w:val="60"/>
          <w:sz w:val="28"/>
          <w:szCs w:val="28"/>
        </w:rPr>
        <w:t xml:space="preserve">Р</w:t>
      </w:r>
      <w:r>
        <w:rPr>
          <w:b/>
          <w:bCs/>
          <w:spacing w:val="60"/>
          <w:sz w:val="28"/>
          <w:szCs w:val="28"/>
        </w:rPr>
        <w:t xml:space="preserve">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листопада 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 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left="0" w:right="4961" w:hang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програми попередження </w:t>
      </w:r>
      <w:r>
        <w:rPr>
          <w:b/>
          <w:sz w:val="28"/>
          <w:szCs w:val="28"/>
          <w:lang w:val="uk-UA"/>
        </w:rPr>
        <w:t xml:space="preserve">дитячої безпритульності та бездоглядності, </w:t>
      </w:r>
      <w:r>
        <w:rPr>
          <w:b/>
          <w:sz w:val="28"/>
          <w:szCs w:val="28"/>
          <w:lang w:val="uk-UA"/>
        </w:rPr>
        <w:t xml:space="preserve">розвитку сімейних форм виховання дітей-сиріт, </w:t>
      </w:r>
      <w:r>
        <w:rPr>
          <w:b/>
          <w:sz w:val="28"/>
          <w:szCs w:val="28"/>
          <w:lang w:val="uk-UA"/>
        </w:rPr>
        <w:t xml:space="preserve">дітей, позбавлених батьківського піклування, </w:t>
      </w:r>
      <w:r>
        <w:rPr>
          <w:b/>
          <w:sz w:val="28"/>
          <w:szCs w:val="28"/>
          <w:lang w:val="uk-UA"/>
        </w:rPr>
        <w:t xml:space="preserve">на 2018-2022 роки «Діти </w:t>
      </w:r>
      <w:r>
        <w:rPr>
          <w:b/>
          <w:sz w:val="28"/>
          <w:szCs w:val="28"/>
          <w:lang w:val="uk-UA"/>
        </w:rPr>
        <w:t xml:space="preserve">Менщини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зв'</w:t>
      </w:r>
      <w:r>
        <w:rPr>
          <w:sz w:val="28"/>
          <w:szCs w:val="28"/>
          <w:lang w:val="uk-UA"/>
        </w:rPr>
        <w:t xml:space="preserve">язку зі збільшенням </w:t>
      </w:r>
      <w:r>
        <w:rPr>
          <w:sz w:val="28"/>
          <w:szCs w:val="28"/>
          <w:lang w:val="uk-UA"/>
        </w:rPr>
        <w:t xml:space="preserve">обсягів витрат</w:t>
      </w:r>
      <w:r>
        <w:rPr>
          <w:sz w:val="28"/>
          <w:szCs w:val="28"/>
          <w:lang w:val="uk-UA"/>
        </w:rPr>
        <w:t xml:space="preserve"> Комунальної установи Менський МЦСССДМ на виконання Програми попередження дитячої безпритульності та бездоглядності,розвитку сімейних форм виховання дітей-сиріт,дітей, позбавлених батьківського піклування, на 2018-2022 роки «Діти </w:t>
      </w:r>
      <w:r>
        <w:rPr>
          <w:sz w:val="28"/>
          <w:szCs w:val="28"/>
          <w:lang w:val="uk-UA"/>
        </w:rPr>
        <w:t xml:space="preserve">Менщини</w:t>
      </w:r>
      <w:r>
        <w:rPr>
          <w:sz w:val="28"/>
          <w:szCs w:val="28"/>
          <w:lang w:val="uk-UA"/>
        </w:rPr>
        <w:t xml:space="preserve">» (далі - Програма) для проведення благодійної концертної програми «Золотий Фенікс”, а також проведення акцій та заходів до </w:t>
      </w:r>
      <w:r>
        <w:rPr>
          <w:sz w:val="28"/>
          <w:szCs w:val="28"/>
          <w:lang w:val="uk-UA"/>
        </w:rPr>
        <w:t xml:space="preserve">Новорічних та різдвяних свят, Менська міська рада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загального обсягу фінансових ресурсів, необхідних для реалізації Програми, зазначених у Паспорті програми, зазначивши його у розмірі 1024,6 тис. грн.</w:t>
      </w:r>
      <w:r>
        <w:rPr>
          <w:sz w:val="28"/>
          <w:szCs w:val="28"/>
          <w:lang w:val="uk-UA"/>
        </w:rPr>
        <w:t xml:space="preserve">.</w:t>
      </w:r>
      <w:bookmarkStart w:id="0" w:name="_GoBack"/>
      <w:r/>
      <w:bookmarkEnd w:id="0"/>
      <w:r/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 xml:space="preserve">в новій редакції додаток 1 до Програми “</w:t>
      </w:r>
      <w:r/>
      <w:r>
        <w:rPr>
          <w:sz w:val="28"/>
          <w:szCs w:val="28"/>
          <w:lang w:val="uk-UA"/>
        </w:rPr>
        <w:t xml:space="preserve">Ресурсне забезпечення </w:t>
      </w:r>
      <w:r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” згідно додатку 1 до даного рішення.</w:t>
      </w:r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п.3</w:t>
      </w:r>
      <w:r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 xml:space="preserve">Соціальне забезпечення та підтримка сімей з дітьми” д</w:t>
      </w:r>
      <w:r>
        <w:rPr>
          <w:sz w:val="28"/>
          <w:szCs w:val="28"/>
          <w:lang w:val="uk-UA"/>
        </w:rPr>
        <w:t xml:space="preserve">одатка 2 “</w:t>
      </w:r>
      <w:r>
        <w:rPr>
          <w:sz w:val="28"/>
          <w:szCs w:val="28"/>
          <w:lang w:val="uk-UA"/>
        </w:rPr>
        <w:t xml:space="preserve">Напрями діяльності та заходи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” додати пункти 3.1. та 3.2. </w:t>
      </w:r>
      <w:r>
        <w:rPr>
          <w:sz w:val="28"/>
          <w:szCs w:val="28"/>
          <w:lang w:val="uk-UA"/>
        </w:rPr>
        <w:t xml:space="preserve">згідно з додатком 2 до даного рішення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251"/>
        <w:numPr>
          <w:ilvl w:val="0"/>
          <w:numId w:val="1"/>
        </w:numPr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Т.С.Вишняк</w:t>
      </w:r>
      <w:r>
        <w:rPr>
          <w:sz w:val="28"/>
          <w:szCs w:val="28"/>
          <w:lang w:val="uk-UA"/>
        </w:rPr>
      </w:r>
    </w:p>
    <w:p>
      <w:pPr>
        <w:pStyle w:val="251"/>
        <w:ind w:left="0" w:right="0" w:hanging="0"/>
        <w:jc w:val="both"/>
        <w:tabs>
          <w:tab w:val="left" w:pos="709" w:leader="none"/>
        </w:tabs>
        <w:rPr>
          <w:szCs w:val="28"/>
        </w:rPr>
      </w:pPr>
      <w:r>
        <w:rPr>
          <w:sz w:val="28"/>
          <w:szCs w:val="28"/>
          <w:lang w:val="uk-UA"/>
        </w:rPr>
      </w:r>
      <w:r/>
    </w:p>
    <w:p>
      <w:pPr>
        <w:pStyle w:val="251"/>
        <w:ind w:left="0" w:right="0" w:hanging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/>
      <w:r/>
    </w:p>
    <w:p>
      <w:pPr>
        <w:rPr>
          <w:lang w:val="uk-UA"/>
        </w:rPr>
        <w:sectPr>
          <w:footnotePr/>
          <w:type w:val="nextPage"/>
          <w:pgSz w:w="12240" w:h="15840"/>
          <w:pgMar w:top="1134" w:right="901" w:bottom="1134" w:left="1843" w:gutter="0" w:header="709" w:footer="709"/>
          <w:cols w:num="1" w:sep="0" w:space="708" w:equalWidth="1"/>
          <w:docGrid w:linePitch="360"/>
        </w:sect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ind w:left="7080" w:firstLine="708"/>
        <w:rPr>
          <w:sz w:val="22"/>
          <w:lang w:val="uk-UA"/>
        </w:rPr>
      </w:pPr>
      <w:r>
        <w:rPr>
          <w:sz w:val="22"/>
          <w:lang w:val="uk-UA"/>
        </w:rPr>
        <w:t xml:space="preserve">Додаток 1</w:t>
      </w:r>
      <w:r>
        <w:rPr>
          <w:sz w:val="18"/>
        </w:rPr>
      </w:r>
    </w:p>
    <w:p>
      <w:pPr>
        <w:ind w:left="778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 рішення 35 сесії Менської міської ради 7 скликання від 18.11.2019 №558 “</w:t>
      </w:r>
      <w:r>
        <w:rPr>
          <w:sz w:val="22"/>
          <w:szCs w:val="28"/>
          <w:lang w:val="uk-UA"/>
        </w:rPr>
        <w:t xml:space="preserve">Про внесення змін до програми попередження </w:t>
      </w:r>
      <w:r>
        <w:rPr>
          <w:sz w:val="22"/>
          <w:szCs w:val="28"/>
          <w:lang w:val="uk-UA"/>
        </w:rPr>
        <w:t xml:space="preserve">дитячої безпритульності та бездоглядності, </w:t>
      </w:r>
      <w:r>
        <w:rPr>
          <w:sz w:val="22"/>
          <w:szCs w:val="28"/>
          <w:lang w:val="uk-UA"/>
        </w:rPr>
        <w:t xml:space="preserve">розвитку сімейних форм виховання дітей-сиріт, </w:t>
      </w:r>
      <w:r>
        <w:rPr>
          <w:sz w:val="22"/>
          <w:szCs w:val="28"/>
          <w:lang w:val="uk-UA"/>
        </w:rPr>
        <w:t xml:space="preserve">дітей, позбавлених батьківського піклування, </w:t>
      </w:r>
      <w:r>
        <w:rPr>
          <w:sz w:val="22"/>
          <w:szCs w:val="28"/>
          <w:lang w:val="uk-UA"/>
        </w:rPr>
        <w:t xml:space="preserve">на 2018-2022 роки «Діти </w:t>
      </w:r>
      <w:r>
        <w:rPr>
          <w:sz w:val="22"/>
          <w:szCs w:val="28"/>
          <w:lang w:val="uk-UA"/>
        </w:rPr>
        <w:t xml:space="preserve">Менщини</w:t>
      </w:r>
      <w:r>
        <w:rPr>
          <w:sz w:val="22"/>
          <w:szCs w:val="28"/>
          <w:lang w:val="uk-UA"/>
        </w:rPr>
        <w:t xml:space="preserve">»”</w:t>
      </w:r>
      <w:r>
        <w:rPr>
          <w:sz w:val="22"/>
          <w:lang w:val="uk-UA"/>
        </w:rPr>
      </w:r>
    </w:p>
    <w:p>
      <w:pPr>
        <w:jc w:val="center"/>
        <w:rPr>
          <w:sz w:val="24"/>
          <w:lang w:val="uk-UA"/>
        </w:rPr>
      </w:pPr>
      <w:r>
        <w:rPr>
          <w:sz w:val="24"/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Ресурсне забезпечення</w:t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b/>
          <w:sz w:val="28"/>
          <w:szCs w:val="28"/>
          <w:lang w:val="uk-UA"/>
        </w:rPr>
        <w:t xml:space="preserve">Менщини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jc w:val="right"/>
        <w:rPr>
          <w:lang w:val="uk-UA"/>
        </w:rPr>
      </w:pPr>
      <w:r>
        <w:rPr>
          <w:lang w:val="uk-UA"/>
        </w:rPr>
      </w:r>
      <w:r/>
    </w:p>
    <w:tbl>
      <w:tblPr>
        <w:tblW w:w="0" w:type="auto"/>
        <w:tblInd w:w="62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992"/>
        <w:gridCol w:w="1134"/>
        <w:gridCol w:w="1134"/>
        <w:gridCol w:w="1134"/>
        <w:gridCol w:w="1276"/>
        <w:gridCol w:w="2766"/>
      </w:tblGrid>
      <w:tr>
        <w:trPr>
          <w:trHeight w:val="260"/>
        </w:trPr>
        <w:tc>
          <w:tcPr>
            <w:tcW w:w="4723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gridSpan w:val="5"/>
            <w:tcBorders>
              <w:right w:val="single" w:sz="4" w:space="0" w:color="auto"/>
            </w:tcBorders>
            <w:tcW w:w="566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Етапи виконання Програми, тис.грн.</w:t>
            </w:r>
            <w:r/>
          </w:p>
        </w:tc>
        <w:tc>
          <w:tcPr>
            <w:tcBorders>
              <w:left w:val="single" w:sz="4" w:space="0" w:color="auto"/>
            </w:tcBorders>
            <w:tcW w:w="2766" w:type="dxa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Усього витрат на виконання Програми</w:t>
            </w:r>
            <w:r/>
          </w:p>
        </w:tc>
      </w:tr>
      <w:tr>
        <w:trPr>
          <w:trHeight w:val="206"/>
        </w:trPr>
        <w:tc>
          <w:tcPr>
            <w:tcW w:w="4723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</w:t>
            </w:r>
            <w:r/>
          </w:p>
        </w:tc>
        <w:tc>
          <w:tcPr>
            <w:gridSpan w:val="3"/>
            <w:tcW w:w="35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</w:t>
            </w:r>
            <w:r/>
          </w:p>
        </w:tc>
        <w:tc>
          <w:tcPr>
            <w:tcBorders>
              <w:left w:val="single" w:sz="4" w:space="0" w:color="auto"/>
            </w:tcBorders>
            <w:tcW w:w="276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51"/>
        </w:trPr>
        <w:tc>
          <w:tcPr>
            <w:tcW w:w="472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2018 рік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2019 рік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 рік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2021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2022 рік</w:t>
            </w:r>
            <w:r/>
          </w:p>
        </w:tc>
        <w:tc>
          <w:tcPr>
            <w:tcW w:w="276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4723" w:type="dxa"/>
            <w:textDirection w:val="lrTb"/>
            <w:noWrap w:val="false"/>
          </w:tcPr>
          <w:p>
            <w:pPr>
              <w:jc w:val="left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Обсяг ресурсів, всього, у тому числі: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69,435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142,365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129,900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80,30 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90,30 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512,300</w:t>
            </w:r>
            <w:r>
              <w:rPr>
                <w:color w:val="000000" w:themeColor="text1"/>
                <w:lang w:val="uk-UA"/>
              </w:rPr>
            </w:r>
            <w:r/>
          </w:p>
        </w:tc>
      </w:tr>
      <w:tr>
        <w:trPr>
          <w:trHeight w:val="498"/>
        </w:trPr>
        <w:tc>
          <w:tcPr>
            <w:tcW w:w="4723" w:type="dxa"/>
            <w:textDirection w:val="lrTb"/>
            <w:noWrap w:val="false"/>
          </w:tcPr>
          <w:p>
            <w:pPr>
              <w:jc w:val="left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Бюджет об</w:t>
            </w:r>
            <w:r>
              <w:t xml:space="preserve">’</w:t>
            </w:r>
            <w:r>
              <w:rPr>
                <w:lang w:val="uk-UA"/>
              </w:rPr>
              <w:t xml:space="preserve">єднаної</w:t>
            </w:r>
            <w:r>
              <w:rPr>
                <w:lang w:val="uk-UA"/>
              </w:rPr>
              <w:t xml:space="preserve">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69,435 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73,715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74,900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50,30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60,30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328,650</w:t>
            </w:r>
            <w:r>
              <w:rPr>
                <w:color w:val="000000" w:themeColor="text1"/>
                <w:lang w:val="uk-UA"/>
              </w:rPr>
            </w:r>
            <w:r/>
          </w:p>
        </w:tc>
      </w:tr>
      <w:tr>
        <w:trPr/>
        <w:tc>
          <w:tcPr>
            <w:tcW w:w="4723" w:type="dxa"/>
            <w:textDirection w:val="lrTb"/>
            <w:noWrap w:val="false"/>
          </w:tcPr>
          <w:p>
            <w:pPr>
              <w:jc w:val="left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Благодійні внески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68</w:t>
            </w:r>
            <w:r>
              <w:rPr>
                <w:color w:val="000000" w:themeColor="text1"/>
                <w:lang w:val="uk-UA"/>
              </w:rPr>
              <w:t xml:space="preserve">,</w:t>
            </w:r>
            <w:r>
              <w:rPr>
                <w:color w:val="000000" w:themeColor="text1"/>
                <w:lang w:val="uk-UA"/>
              </w:rPr>
              <w:t xml:space="preserve">650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55</w:t>
            </w:r>
            <w:r>
              <w:rPr>
                <w:color w:val="000000" w:themeColor="text1"/>
                <w:lang w:val="uk-UA"/>
              </w:rPr>
              <w:t xml:space="preserve">,00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</w:t>
            </w:r>
            <w:r>
              <w:rPr>
                <w:color w:val="000000" w:themeColor="text1"/>
                <w:lang w:val="uk-UA"/>
              </w:rPr>
            </w:r>
            <w:r/>
          </w:p>
        </w:tc>
        <w:tc>
          <w:tcPr>
            <w:tcW w:w="2766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183</w:t>
            </w:r>
            <w:r>
              <w:rPr>
                <w:color w:val="000000" w:themeColor="text1"/>
                <w:lang w:val="uk-UA"/>
              </w:rPr>
              <w:t xml:space="preserve">,</w:t>
            </w:r>
            <w:r>
              <w:rPr>
                <w:color w:val="000000" w:themeColor="text1"/>
                <w:lang w:val="uk-UA"/>
              </w:rPr>
              <w:t xml:space="preserve">650</w:t>
            </w:r>
            <w:r>
              <w:rPr>
                <w:color w:val="000000" w:themeColor="text1"/>
                <w:lang w:val="uk-UA"/>
              </w:rPr>
            </w:r>
            <w:r/>
          </w:p>
        </w:tc>
      </w:tr>
    </w:tbl>
    <w:p>
      <w:pPr>
        <w:ind w:left="7077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shd w:val="nil" w:color="auto" w:fill="FFFFFF"/>
      </w:pPr>
      <w:r>
        <w:rPr>
          <w:lang w:val="uk-UA"/>
        </w:rPr>
        <w:br w:type="page"/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ind w:left="7077" w:firstLine="708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Додаток 2</w:t>
      </w:r>
      <w:r>
        <w:rPr>
          <w:sz w:val="18"/>
        </w:rPr>
      </w:r>
    </w:p>
    <w:p>
      <w:pPr>
        <w:ind w:left="778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 рішення 35 сесії Менської міської ради 7 скликання від 18.11.2019 №558 “</w:t>
      </w:r>
      <w:r>
        <w:rPr>
          <w:sz w:val="22"/>
          <w:szCs w:val="28"/>
          <w:lang w:val="uk-UA"/>
        </w:rPr>
        <w:t xml:space="preserve">Про внесення змін до програми попередження </w:t>
      </w:r>
      <w:r>
        <w:rPr>
          <w:sz w:val="22"/>
          <w:szCs w:val="28"/>
          <w:lang w:val="uk-UA"/>
        </w:rPr>
        <w:t xml:space="preserve">дитячої безпритульності та бездоглядності, </w:t>
      </w:r>
      <w:r>
        <w:rPr>
          <w:sz w:val="22"/>
          <w:szCs w:val="28"/>
          <w:lang w:val="uk-UA"/>
        </w:rPr>
        <w:t xml:space="preserve">розвитку сімейних форм виховання дітей-сиріт, </w:t>
      </w:r>
      <w:r>
        <w:rPr>
          <w:sz w:val="22"/>
          <w:szCs w:val="28"/>
          <w:lang w:val="uk-UA"/>
        </w:rPr>
        <w:t xml:space="preserve">дітей, позбавлених батьківського піклування, </w:t>
      </w:r>
      <w:r>
        <w:rPr>
          <w:sz w:val="22"/>
          <w:szCs w:val="28"/>
          <w:lang w:val="uk-UA"/>
        </w:rPr>
        <w:t xml:space="preserve">на 2018-2022 роки «Діти </w:t>
      </w:r>
      <w:r>
        <w:rPr>
          <w:sz w:val="22"/>
          <w:szCs w:val="28"/>
          <w:lang w:val="uk-UA"/>
        </w:rPr>
        <w:t xml:space="preserve">Менщини</w:t>
      </w:r>
      <w:r>
        <w:rPr>
          <w:sz w:val="22"/>
          <w:szCs w:val="28"/>
          <w:lang w:val="uk-UA"/>
        </w:rPr>
        <w:t xml:space="preserve">»”</w:t>
      </w:r>
      <w:r>
        <w:rPr>
          <w:sz w:val="22"/>
          <w:lang w:val="uk-UA"/>
        </w:rPr>
      </w:r>
      <w:r>
        <w:rPr>
          <w:sz w:val="18"/>
        </w:rPr>
      </w:r>
    </w:p>
    <w:p>
      <w:pPr>
        <w:ind w:left="7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center"/>
        <w:spacing w:before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Напрями діяльності та заходи</w:t>
      </w:r>
      <w:r/>
    </w:p>
    <w:p>
      <w:pPr>
        <w:jc w:val="center"/>
        <w:spacing w:after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b/>
          <w:sz w:val="28"/>
          <w:szCs w:val="28"/>
          <w:lang w:val="uk-UA"/>
        </w:rPr>
        <w:t xml:space="preserve">Менщини</w:t>
      </w:r>
      <w:r>
        <w:rPr>
          <w:b/>
          <w:sz w:val="28"/>
          <w:szCs w:val="28"/>
          <w:lang w:val="uk-UA"/>
        </w:rPr>
        <w:t xml:space="preserve">»</w:t>
      </w:r>
      <w:r/>
    </w:p>
    <w:tbl>
      <w:tblPr>
        <w:tblW w:w="1455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017"/>
        <w:gridCol w:w="855"/>
        <w:gridCol w:w="2153"/>
        <w:gridCol w:w="999"/>
        <w:gridCol w:w="558"/>
        <w:gridCol w:w="540"/>
        <w:gridCol w:w="597"/>
        <w:gridCol w:w="567"/>
        <w:gridCol w:w="426"/>
        <w:gridCol w:w="433"/>
        <w:gridCol w:w="2781"/>
        <w:gridCol w:w="8"/>
      </w:tblGrid>
      <w:tr>
        <w:trPr>
          <w:trHeight w:val="57"/>
        </w:trPr>
        <w:tc>
          <w:tcPr>
            <w:tcW w:w="62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№</w:t>
            </w:r>
            <w:r>
              <w:rPr>
                <w:sz w:val="18"/>
              </w:rPr>
            </w:r>
          </w:p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з/п</w:t>
            </w:r>
            <w:r>
              <w:rPr>
                <w:sz w:val="18"/>
              </w:rPr>
            </w:r>
          </w:p>
        </w:tc>
        <w:tc>
          <w:tcPr>
            <w:tcW w:w="401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Перелік заходів</w:t>
            </w:r>
            <w:r>
              <w:rPr>
                <w:sz w:val="18"/>
              </w:rPr>
            </w:r>
          </w:p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програми</w:t>
            </w:r>
            <w:r>
              <w:rPr>
                <w:sz w:val="18"/>
              </w:rPr>
            </w:r>
          </w:p>
        </w:tc>
        <w:tc>
          <w:tcPr>
            <w:tcW w:w="85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Строк виконання заходів</w:t>
            </w:r>
            <w:r>
              <w:rPr>
                <w:sz w:val="18"/>
              </w:rPr>
            </w:r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Виконавці</w:t>
            </w:r>
            <w:r>
              <w:rPr>
                <w:sz w:val="18"/>
              </w:rPr>
            </w:r>
          </w:p>
        </w:tc>
        <w:tc>
          <w:tcPr>
            <w:tcW w:w="99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Джерела </w:t>
            </w:r>
            <w:r>
              <w:rPr>
                <w:b/>
                <w:sz w:val="18"/>
                <w:lang w:val="uk-UA"/>
              </w:rPr>
              <w:t xml:space="preserve">фінансу</w:t>
            </w:r>
            <w:r>
              <w:rPr>
                <w:b/>
                <w:sz w:val="18"/>
              </w:rPr>
              <w:t xml:space="preserve">-</w:t>
            </w:r>
            <w:r>
              <w:rPr>
                <w:b/>
                <w:sz w:val="18"/>
                <w:lang w:val="uk-UA"/>
              </w:rPr>
              <w:t xml:space="preserve">вання</w:t>
            </w:r>
            <w:r>
              <w:rPr>
                <w:sz w:val="18"/>
              </w:rPr>
            </w:r>
          </w:p>
        </w:tc>
        <w:tc>
          <w:tcPr>
            <w:gridSpan w:val="6"/>
            <w:tcW w:w="312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Орієнтовні обсяги фінансування (вартість), </w:t>
            </w:r>
            <w:r>
              <w:rPr>
                <w:b/>
                <w:sz w:val="18"/>
                <w:lang w:val="uk-UA"/>
              </w:rPr>
              <w:t xml:space="preserve">тис.грн</w:t>
            </w:r>
            <w:r>
              <w:rPr>
                <w:b/>
                <w:sz w:val="18"/>
                <w:lang w:val="uk-UA"/>
              </w:rPr>
              <w:t xml:space="preserve">., у тому числі по роках:</w:t>
            </w:r>
            <w:r>
              <w:rPr>
                <w:sz w:val="18"/>
              </w:rPr>
            </w:r>
          </w:p>
        </w:tc>
        <w:tc>
          <w:tcPr>
            <w:gridSpan w:val="2"/>
            <w:tcW w:w="2789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Очікуваний результат</w:t>
            </w:r>
            <w:r>
              <w:rPr>
                <w:sz w:val="18"/>
              </w:rPr>
            </w:r>
          </w:p>
        </w:tc>
      </w:tr>
      <w:tr>
        <w:trPr>
          <w:cantSplit/>
          <w:gridAfter w:val="1"/>
          <w:wAfter w:w="8" w:type="dxa"/>
          <w:trHeight w:val="752"/>
        </w:trPr>
        <w:tc>
          <w:tcPr>
            <w:tcW w:w="62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401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85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215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99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558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18"/>
                <w:lang w:val="uk-UA"/>
              </w:rPr>
              <w:t xml:space="preserve">Загальний обсяг</w:t>
            </w:r>
            <w:r>
              <w:rPr>
                <w:sz w:val="20"/>
              </w:rPr>
            </w:r>
          </w:p>
        </w:tc>
        <w:tc>
          <w:tcPr>
            <w:tcW w:w="540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2018</w:t>
            </w:r>
            <w:r>
              <w:rPr>
                <w:sz w:val="20"/>
              </w:rPr>
            </w:r>
          </w:p>
        </w:tc>
        <w:tc>
          <w:tcPr>
            <w:tcW w:w="597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2019</w:t>
            </w:r>
            <w:r>
              <w:rPr>
                <w:sz w:val="20"/>
              </w:rPr>
            </w:r>
          </w:p>
        </w:tc>
        <w:tc>
          <w:tcPr>
            <w:tcW w:w="567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2020</w:t>
            </w:r>
            <w:r>
              <w:rPr>
                <w:sz w:val="20"/>
              </w:rPr>
            </w:r>
          </w:p>
        </w:tc>
        <w:tc>
          <w:tcPr>
            <w:tcW w:w="426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2021</w:t>
            </w:r>
            <w:r>
              <w:rPr>
                <w:sz w:val="20"/>
              </w:rPr>
            </w:r>
          </w:p>
        </w:tc>
        <w:tc>
          <w:tcPr>
            <w:tcW w:w="433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2022</w:t>
            </w:r>
            <w:r>
              <w:rPr>
                <w:sz w:val="20"/>
              </w:rPr>
            </w:r>
          </w:p>
        </w:tc>
        <w:tc>
          <w:tcPr>
            <w:tcW w:w="2781" w:type="dxa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</w:tr>
    </w:tbl>
    <w:p>
      <w:pPr>
        <w:ind w:left="1080" w:hanging="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3. Соціальне забезпечення та підтримка сімей з дітьми</w:t>
      </w:r>
      <w:r/>
    </w:p>
    <w:tbl>
      <w:tblPr>
        <w:tblW w:w="1455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037"/>
        <w:gridCol w:w="852"/>
        <w:gridCol w:w="2157"/>
        <w:gridCol w:w="1013"/>
        <w:gridCol w:w="8"/>
        <w:gridCol w:w="537"/>
        <w:gridCol w:w="540"/>
        <w:gridCol w:w="597"/>
        <w:gridCol w:w="585"/>
        <w:gridCol w:w="576"/>
        <w:gridCol w:w="340"/>
        <w:gridCol w:w="2700"/>
        <w:gridCol w:w="8"/>
      </w:tblGrid>
      <w:tr>
        <w:trPr>
          <w:cantSplit/>
          <w:gridAfter w:val="1"/>
          <w:wAfter w:w="8" w:type="dxa"/>
          <w:trHeight w:val="57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605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>
              <w:rPr>
                <w:lang w:val="uk-UA"/>
              </w:rPr>
              <w:t xml:space="preserve">.1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4037" w:type="dxa"/>
            <w:textDirection w:val="lrTb"/>
            <w:noWrap w:val="false"/>
          </w:tcPr>
          <w:p>
            <w:pPr>
              <w:ind w:right="-11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благодійних акцій, святкових заходів для дітей соціально незахищених категорій з нагоди відзначення Дня сім’ї і матері, Дня захисту дітей (1 червня); Дня захисту інвалідів, Новорічних та Різдвяних свят, інших благодійних заходів та заходів соціал</w:t>
            </w:r>
            <w:r>
              <w:rPr>
                <w:color w:val="000000" w:themeColor="text1"/>
                <w:lang w:val="uk-UA"/>
              </w:rPr>
              <w:t xml:space="preserve">ьної підтримки сімей з дітьми. 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</w:t>
            </w:r>
            <w:r/>
          </w:p>
        </w:tc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1021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ОТГ</w:t>
            </w:r>
            <w:r/>
          </w:p>
        </w:tc>
        <w:tc>
          <w:tcPr>
            <w:tcW w:w="53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282265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61100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51065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70500</w:t>
            </w:r>
            <w:r/>
          </w:p>
        </w:tc>
        <w:tc>
          <w:tcPr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44800</w:t>
            </w:r>
            <w:r/>
          </w:p>
        </w:tc>
        <w:tc>
          <w:tcPr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54800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цінностей. Підтримка творчої молоді.</w:t>
            </w:r>
            <w:r/>
          </w:p>
        </w:tc>
      </w:tr>
      <w:tr>
        <w:trPr>
          <w:cantSplit/>
          <w:gridAfter w:val="1"/>
          <w:wAfter w:w="8" w:type="dxa"/>
          <w:trHeight w:val="911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605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3.2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4037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</w:t>
            </w:r>
            <w:r>
              <w:rPr>
                <w:color w:val="000000"/>
                <w:lang w:val="uk-UA"/>
              </w:rPr>
            </w:r>
            <w:r/>
          </w:p>
        </w:tc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1021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Благоді</w:t>
            </w:r>
            <w:r>
              <w:rPr>
                <w:color w:val="000000" w:themeColor="text1"/>
                <w:lang w:val="uk-UA"/>
              </w:rPr>
              <w:t xml:space="preserve">й</w:t>
            </w:r>
            <w:r>
              <w:rPr>
                <w:color w:val="000000" w:themeColor="text1"/>
                <w:lang w:val="uk-UA"/>
              </w:rPr>
              <w:t xml:space="preserve">ні внески</w:t>
            </w:r>
            <w:r/>
          </w:p>
        </w:tc>
        <w:tc>
          <w:tcPr>
            <w:tcW w:w="53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164000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-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65000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50000</w:t>
            </w:r>
            <w:r/>
          </w:p>
        </w:tc>
        <w:tc>
          <w:tcPr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24500</w:t>
            </w:r>
            <w:r/>
          </w:p>
        </w:tc>
        <w:tc>
          <w:tcPr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24500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870"/>
        </w:trPr>
        <w:tc>
          <w:tcPr>
            <w:gridSpan w:val="5"/>
            <w:tcBorders>
              <w:top w:val="single" w:sz="4" w:space="0" w:color="auto"/>
              <w:bottom w:val="single" w:sz="4" w:space="0" w:color="auto"/>
            </w:tcBorders>
            <w:tcW w:w="8664" w:type="dxa"/>
            <w:textDirection w:val="lrTb"/>
            <w:noWrap w:val="false"/>
          </w:tcPr>
          <w:p>
            <w:pPr>
              <w:jc w:val="center"/>
              <w:spacing w:before="240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Всього по розділу</w:t>
            </w:r>
            <w:r/>
          </w:p>
        </w:tc>
        <w:tc>
          <w:tcPr>
            <w:gridSpan w:val="2"/>
            <w:tcW w:w="54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446265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61100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116065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120500</w:t>
            </w:r>
            <w:r/>
          </w:p>
        </w:tc>
        <w:tc>
          <w:tcPr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69300</w:t>
            </w:r>
            <w:r/>
          </w:p>
        </w:tc>
        <w:tc>
          <w:tcPr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79300</w:t>
            </w:r>
            <w:r/>
          </w:p>
        </w:tc>
        <w:tc>
          <w:tcPr>
            <w:gridSpan w:val="2"/>
            <w:tcW w:w="2708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838"/>
        </w:trPr>
        <w:tc>
          <w:tcPr>
            <w:gridSpan w:val="5"/>
            <w:tcBorders>
              <w:top w:val="single" w:sz="4" w:space="0" w:color="auto"/>
              <w:bottom w:val="single" w:sz="4" w:space="0" w:color="auto"/>
            </w:tcBorders>
            <w:tcW w:w="8664" w:type="dxa"/>
            <w:textDirection w:val="lrTb"/>
            <w:noWrap w:val="false"/>
          </w:tcPr>
          <w:p>
            <w:pPr>
              <w:jc w:val="center"/>
              <w:spacing w:before="240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Разом по заходам</w:t>
            </w:r>
            <w:r/>
          </w:p>
        </w:tc>
        <w:tc>
          <w:tcPr>
            <w:gridSpan w:val="2"/>
            <w:tcW w:w="54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512300</w:t>
            </w:r>
            <w:r/>
          </w:p>
        </w:tc>
        <w:tc>
          <w:tcPr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69435</w:t>
            </w:r>
            <w:r/>
          </w:p>
        </w:tc>
        <w:tc>
          <w:tcPr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142365</w:t>
            </w:r>
            <w:r/>
          </w:p>
        </w:tc>
        <w:tc>
          <w:tcPr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129900</w:t>
            </w:r>
            <w:r/>
          </w:p>
        </w:tc>
        <w:tc>
          <w:tcPr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80300</w:t>
            </w:r>
            <w:r/>
          </w:p>
        </w:tc>
        <w:tc>
          <w:tcPr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90300</w:t>
            </w:r>
            <w:r/>
          </w:p>
        </w:tc>
        <w:tc>
          <w:tcPr>
            <w:gridSpan w:val="2"/>
            <w:tcW w:w="2708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</w:tbl>
    <w:p>
      <w:pPr>
        <w:jc w:val="center"/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5840" w:h="12240" w:orient="landscape"/>
      <w:pgMar w:top="568" w:right="1134" w:bottom="851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8"/>
      </w:pPr>
    </w:lvl>
    <w:lvl w:ilvl="2">
      <w:start w:val="1"/>
      <w:numFmt w:val="lowerRoman"/>
      <w:suff w:val="tab"/>
      <w:lvlText w:val="%3."/>
      <w:lvlJc w:val="right"/>
      <w:pPr>
        <w:ind w:left="2520" w:hanging="178"/>
      </w:pPr>
    </w:lvl>
    <w:lvl w:ilvl="3">
      <w:start w:val="1"/>
      <w:numFmt w:val="decimal"/>
      <w:suff w:val="tab"/>
      <w:lvlText w:val="%4."/>
      <w:lvlJc w:val="left"/>
      <w:pPr>
        <w:ind w:left="3240" w:hanging="358"/>
      </w:pPr>
    </w:lvl>
    <w:lvl w:ilvl="4">
      <w:start w:val="1"/>
      <w:numFmt w:val="lowerLetter"/>
      <w:suff w:val="tab"/>
      <w:lvlText w:val="%5."/>
      <w:lvlJc w:val="left"/>
      <w:pPr>
        <w:ind w:left="3960" w:hanging="358"/>
      </w:pPr>
    </w:lvl>
    <w:lvl w:ilvl="5">
      <w:start w:val="1"/>
      <w:numFmt w:val="lowerRoman"/>
      <w:suff w:val="tab"/>
      <w:lvlText w:val="%6."/>
      <w:lvlJc w:val="right"/>
      <w:pPr>
        <w:ind w:left="4680" w:hanging="178"/>
      </w:pPr>
    </w:lvl>
    <w:lvl w:ilvl="6">
      <w:start w:val="1"/>
      <w:numFmt w:val="decimal"/>
      <w:suff w:val="tab"/>
      <w:lvlText w:val="%7."/>
      <w:lvlJc w:val="left"/>
      <w:pPr>
        <w:ind w:left="5400" w:hanging="358"/>
      </w:pPr>
    </w:lvl>
    <w:lvl w:ilvl="7">
      <w:start w:val="1"/>
      <w:numFmt w:val="lowerLetter"/>
      <w:suff w:val="tab"/>
      <w:lvlText w:val="%8."/>
      <w:lvlJc w:val="left"/>
      <w:pPr>
        <w:ind w:left="6120" w:hanging="358"/>
      </w:pPr>
    </w:lvl>
    <w:lvl w:ilvl="8">
      <w:start w:val="1"/>
      <w:numFmt w:val="lowerRoman"/>
      <w:suff w:val="tab"/>
      <w:lvlText w:val="%9."/>
      <w:lvlJc w:val="right"/>
      <w:pPr>
        <w:ind w:left="6840" w:hanging="17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7"/>
    <w:next w:val="247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basedOn w:val="248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7"/>
    <w:next w:val="247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basedOn w:val="248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7"/>
    <w:next w:val="247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basedOn w:val="248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7"/>
    <w:next w:val="247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basedOn w:val="248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7"/>
    <w:next w:val="247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basedOn w:val="248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7"/>
    <w:next w:val="247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basedOn w:val="248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7"/>
    <w:next w:val="247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basedOn w:val="248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7"/>
    <w:next w:val="247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basedOn w:val="248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7"/>
    <w:next w:val="247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basedOn w:val="248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No Spacing"/>
    <w:qFormat/>
    <w:uiPriority w:val="1"/>
    <w:pPr>
      <w:spacing w:lineRule="auto" w:line="240" w:after="0" w:before="0"/>
    </w:pPr>
  </w:style>
  <w:style w:type="paragraph" w:styleId="199">
    <w:name w:val="Title"/>
    <w:basedOn w:val="247"/>
    <w:next w:val="247"/>
    <w:link w:val="2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0">
    <w:name w:val="Title Char"/>
    <w:basedOn w:val="248"/>
    <w:link w:val="199"/>
    <w:uiPriority w:val="10"/>
    <w:rPr>
      <w:sz w:val="48"/>
      <w:szCs w:val="48"/>
    </w:rPr>
  </w:style>
  <w:style w:type="paragraph" w:styleId="201">
    <w:name w:val="Subtitle"/>
    <w:basedOn w:val="247"/>
    <w:next w:val="247"/>
    <w:link w:val="202"/>
    <w:qFormat/>
    <w:uiPriority w:val="11"/>
    <w:rPr>
      <w:sz w:val="24"/>
      <w:szCs w:val="24"/>
    </w:rPr>
    <w:pPr>
      <w:spacing w:after="200" w:before="200"/>
    </w:pPr>
  </w:style>
  <w:style w:type="character" w:styleId="202">
    <w:name w:val="Subtitle Char"/>
    <w:basedOn w:val="248"/>
    <w:link w:val="201"/>
    <w:uiPriority w:val="11"/>
    <w:rPr>
      <w:sz w:val="24"/>
      <w:szCs w:val="24"/>
    </w:rPr>
  </w:style>
  <w:style w:type="paragraph" w:styleId="203">
    <w:name w:val="Quote"/>
    <w:basedOn w:val="247"/>
    <w:next w:val="247"/>
    <w:link w:val="204"/>
    <w:qFormat/>
    <w:uiPriority w:val="29"/>
    <w:rPr>
      <w:i/>
    </w:rPr>
    <w:pPr>
      <w:ind w:left="720" w:right="720"/>
    </w:pPr>
  </w:style>
  <w:style w:type="character" w:styleId="204">
    <w:name w:val="Quote Char"/>
    <w:link w:val="203"/>
    <w:uiPriority w:val="29"/>
    <w:rPr>
      <w:i/>
    </w:rPr>
  </w:style>
  <w:style w:type="paragraph" w:styleId="205">
    <w:name w:val="Intense Quote"/>
    <w:basedOn w:val="247"/>
    <w:next w:val="247"/>
    <w:link w:val="2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6">
    <w:name w:val="Intense Quote Char"/>
    <w:link w:val="205"/>
    <w:uiPriority w:val="30"/>
    <w:rPr>
      <w:i/>
    </w:rPr>
  </w:style>
  <w:style w:type="paragraph" w:styleId="207">
    <w:name w:val="Header"/>
    <w:basedOn w:val="247"/>
    <w:link w:val="2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8">
    <w:name w:val="Header Char"/>
    <w:basedOn w:val="248"/>
    <w:link w:val="207"/>
    <w:uiPriority w:val="99"/>
  </w:style>
  <w:style w:type="paragraph" w:styleId="209">
    <w:name w:val="Footer"/>
    <w:basedOn w:val="247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Footer Char"/>
    <w:basedOn w:val="248"/>
    <w:link w:val="209"/>
    <w:uiPriority w:val="99"/>
  </w:style>
  <w:style w:type="table" w:styleId="211">
    <w:name w:val="Table Grid"/>
    <w:basedOn w:val="2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2">
    <w:name w:val="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3">
    <w:name w:val="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4">
    <w:name w:val="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5">
    <w:name w:val="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6">
    <w:name w:val="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7">
    <w:name w:val="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8">
    <w:name w:val="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9">
    <w:name w:val="Bordered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0">
    <w:name w:val="Bordered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1">
    <w:name w:val="Bordered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2">
    <w:name w:val="Bordered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3">
    <w:name w:val="Bordered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4">
    <w:name w:val="Bordered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5">
    <w:name w:val="Bordered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6">
    <w:name w:val="Bordered &amp; 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7">
    <w:name w:val="Bordered &amp; 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8">
    <w:name w:val="Bordered &amp; 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9">
    <w:name w:val="Bordered &amp; 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0">
    <w:name w:val="Bordered &amp; 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1">
    <w:name w:val="Bordered &amp; 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2">
    <w:name w:val="Bordered &amp; 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3">
    <w:name w:val="Hyperlink"/>
    <w:uiPriority w:val="99"/>
    <w:unhideWhenUsed/>
    <w:rPr>
      <w:color w:val="0000FF" w:themeColor="hyperlink"/>
      <w:u w:val="single"/>
    </w:rPr>
  </w:style>
  <w:style w:type="paragraph" w:styleId="234">
    <w:name w:val="footnote text"/>
    <w:basedOn w:val="247"/>
    <w:link w:val="235"/>
    <w:uiPriority w:val="99"/>
    <w:semiHidden/>
    <w:unhideWhenUsed/>
    <w:rPr>
      <w:sz w:val="18"/>
    </w:rPr>
    <w:pPr>
      <w:spacing w:lineRule="auto" w:line="240" w:after="40"/>
    </w:pPr>
  </w:style>
  <w:style w:type="character" w:styleId="235">
    <w:name w:val="Footnote Text Char"/>
    <w:link w:val="234"/>
    <w:uiPriority w:val="99"/>
    <w:rPr>
      <w:sz w:val="18"/>
    </w:rPr>
  </w:style>
  <w:style w:type="character" w:styleId="236">
    <w:name w:val="footnote reference"/>
    <w:basedOn w:val="248"/>
    <w:uiPriority w:val="99"/>
    <w:unhideWhenUsed/>
    <w:rPr>
      <w:vertAlign w:val="superscript"/>
    </w:rPr>
  </w:style>
  <w:style w:type="paragraph" w:styleId="237">
    <w:name w:val="toc 1"/>
    <w:basedOn w:val="247"/>
    <w:next w:val="247"/>
    <w:uiPriority w:val="39"/>
    <w:unhideWhenUsed/>
    <w:pPr>
      <w:ind w:left="0" w:right="0" w:hanging="0"/>
      <w:spacing w:after="57"/>
    </w:pPr>
  </w:style>
  <w:style w:type="paragraph" w:styleId="238">
    <w:name w:val="toc 2"/>
    <w:basedOn w:val="247"/>
    <w:next w:val="247"/>
    <w:uiPriority w:val="39"/>
    <w:unhideWhenUsed/>
    <w:pPr>
      <w:ind w:left="283" w:right="0" w:hanging="0"/>
      <w:spacing w:after="57"/>
    </w:pPr>
  </w:style>
  <w:style w:type="paragraph" w:styleId="239">
    <w:name w:val="toc 3"/>
    <w:basedOn w:val="247"/>
    <w:next w:val="247"/>
    <w:uiPriority w:val="39"/>
    <w:unhideWhenUsed/>
    <w:pPr>
      <w:ind w:left="567" w:right="0" w:hanging="0"/>
      <w:spacing w:after="57"/>
    </w:pPr>
  </w:style>
  <w:style w:type="paragraph" w:styleId="240">
    <w:name w:val="toc 4"/>
    <w:basedOn w:val="247"/>
    <w:next w:val="247"/>
    <w:uiPriority w:val="39"/>
    <w:unhideWhenUsed/>
    <w:pPr>
      <w:ind w:left="850" w:right="0" w:hanging="0"/>
      <w:spacing w:after="57"/>
    </w:pPr>
  </w:style>
  <w:style w:type="paragraph" w:styleId="241">
    <w:name w:val="toc 5"/>
    <w:basedOn w:val="247"/>
    <w:next w:val="247"/>
    <w:uiPriority w:val="39"/>
    <w:unhideWhenUsed/>
    <w:pPr>
      <w:ind w:left="1134" w:right="0" w:hanging="0"/>
      <w:spacing w:after="57"/>
    </w:pPr>
  </w:style>
  <w:style w:type="paragraph" w:styleId="242">
    <w:name w:val="toc 6"/>
    <w:basedOn w:val="247"/>
    <w:next w:val="247"/>
    <w:uiPriority w:val="39"/>
    <w:unhideWhenUsed/>
    <w:pPr>
      <w:ind w:left="1417" w:right="0" w:hanging="0"/>
      <w:spacing w:after="57"/>
    </w:pPr>
  </w:style>
  <w:style w:type="paragraph" w:styleId="243">
    <w:name w:val="toc 7"/>
    <w:basedOn w:val="247"/>
    <w:next w:val="247"/>
    <w:uiPriority w:val="39"/>
    <w:unhideWhenUsed/>
    <w:pPr>
      <w:ind w:left="1701" w:right="0" w:hanging="0"/>
      <w:spacing w:after="57"/>
    </w:pPr>
  </w:style>
  <w:style w:type="paragraph" w:styleId="244">
    <w:name w:val="toc 8"/>
    <w:basedOn w:val="247"/>
    <w:next w:val="247"/>
    <w:uiPriority w:val="39"/>
    <w:unhideWhenUsed/>
    <w:pPr>
      <w:ind w:left="1984" w:right="0" w:hanging="0"/>
      <w:spacing w:after="57"/>
    </w:pPr>
  </w:style>
  <w:style w:type="paragraph" w:styleId="245">
    <w:name w:val="toc 9"/>
    <w:basedOn w:val="247"/>
    <w:next w:val="247"/>
    <w:uiPriority w:val="39"/>
    <w:unhideWhenUsed/>
    <w:pPr>
      <w:ind w:left="2268" w:right="0" w:hanging="0"/>
      <w:spacing w:after="57"/>
    </w:pPr>
  </w:style>
  <w:style w:type="paragraph" w:styleId="246">
    <w:name w:val="TOC Heading"/>
    <w:uiPriority w:val="39"/>
    <w:unhideWhenUsed/>
  </w:style>
  <w:style w:type="paragraph" w:styleId="247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</w:style>
  <w:style w:type="character" w:styleId="248" w:default="1">
    <w:name w:val="Default Paragraph Font"/>
    <w:uiPriority w:val="1"/>
    <w:semiHidden/>
    <w:unhideWhenUsed/>
  </w:style>
  <w:style w:type="table" w:styleId="2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0" w:default="1">
    <w:name w:val="No List"/>
    <w:uiPriority w:val="99"/>
    <w:semiHidden/>
    <w:unhideWhenUsed/>
  </w:style>
  <w:style w:type="paragraph" w:styleId="251">
    <w:name w:val="List Paragraph"/>
    <w:basedOn w:val="247"/>
    <w:qFormat/>
    <w:uiPriority w:val="34"/>
    <w:pPr>
      <w:contextualSpacing w:val="true"/>
      <w:ind w:left="720"/>
    </w:pPr>
  </w:style>
  <w:style w:type="paragraph" w:styleId="252">
    <w:name w:val="Balloon Text"/>
    <w:basedOn w:val="247"/>
    <w:link w:val="253"/>
    <w:uiPriority w:val="99"/>
    <w:semiHidden/>
    <w:unhideWhenUsed/>
    <w:rPr>
      <w:rFonts w:ascii="Tahoma" w:hAnsi="Tahoma" w:cs="Tahoma"/>
      <w:sz w:val="16"/>
      <w:szCs w:val="16"/>
    </w:rPr>
  </w:style>
  <w:style w:type="character" w:styleId="253" w:customStyle="1">
    <w:name w:val="Текст выноски Знак"/>
    <w:basedOn w:val="248"/>
    <w:link w:val="252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